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5E" w:rsidRPr="00E80244" w:rsidRDefault="00DE585E" w:rsidP="00DE585E">
      <w:pPr>
        <w:widowControl/>
        <w:shd w:val="clear" w:color="auto" w:fill="FFFFFF"/>
        <w:jc w:val="left"/>
        <w:rPr>
          <w:rFonts w:ascii="宋体" w:hAnsi="宋体" w:cs="Arial" w:hint="eastAsia"/>
          <w:b/>
          <w:color w:val="333333"/>
          <w:kern w:val="0"/>
          <w:sz w:val="28"/>
          <w:szCs w:val="28"/>
        </w:rPr>
      </w:pPr>
      <w:bookmarkStart w:id="0" w:name="_GoBack"/>
      <w:r w:rsidRPr="00AA2D76">
        <w:rPr>
          <w:rFonts w:ascii="宋体" w:hAnsi="宋体" w:cs="Arial" w:hint="eastAsia"/>
          <w:b/>
          <w:color w:val="333333"/>
          <w:kern w:val="0"/>
          <w:sz w:val="28"/>
          <w:szCs w:val="28"/>
        </w:rPr>
        <w:t>附件2：</w:t>
      </w:r>
    </w:p>
    <w:bookmarkEnd w:id="0"/>
    <w:p w:rsidR="00DE585E" w:rsidRPr="00AA2D76" w:rsidRDefault="00DE585E" w:rsidP="00DE585E">
      <w:pPr>
        <w:widowControl/>
        <w:shd w:val="clear" w:color="auto" w:fill="FFFFFF"/>
        <w:jc w:val="left"/>
        <w:rPr>
          <w:rFonts w:ascii="宋体" w:hAnsi="宋体" w:cs="Arial" w:hint="eastAsia"/>
          <w:b/>
          <w:color w:val="333333"/>
          <w:kern w:val="0"/>
          <w:sz w:val="28"/>
          <w:szCs w:val="28"/>
        </w:rPr>
      </w:pPr>
    </w:p>
    <w:p w:rsidR="00DE585E" w:rsidRDefault="00DE585E" w:rsidP="00DE585E">
      <w:pPr>
        <w:widowControl/>
        <w:shd w:val="clear" w:color="auto" w:fill="FFFFFF"/>
        <w:ind w:firstLine="723"/>
        <w:jc w:val="center"/>
        <w:rPr>
          <w:rFonts w:ascii="Arial" w:hAnsi="Arial" w:cs="Arial" w:hint="eastAsia"/>
          <w:b/>
          <w:color w:val="333333"/>
          <w:kern w:val="0"/>
          <w:sz w:val="36"/>
          <w:szCs w:val="36"/>
        </w:rPr>
      </w:pPr>
      <w:r w:rsidRPr="00AA2D76">
        <w:rPr>
          <w:rFonts w:ascii="Arial" w:hAnsi="Arial" w:cs="Arial" w:hint="eastAsia"/>
          <w:b/>
          <w:color w:val="333333"/>
          <w:kern w:val="0"/>
          <w:sz w:val="36"/>
          <w:szCs w:val="36"/>
        </w:rPr>
        <w:t>广东省注册会计师协会非执业会员继续教育培训</w:t>
      </w:r>
    </w:p>
    <w:p w:rsidR="00DE585E" w:rsidRPr="00AA2D76" w:rsidRDefault="00DE585E" w:rsidP="00DE585E">
      <w:pPr>
        <w:widowControl/>
        <w:shd w:val="clear" w:color="auto" w:fill="FFFFFF"/>
        <w:ind w:firstLine="723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AA2D76">
        <w:rPr>
          <w:rFonts w:ascii="Arial" w:hAnsi="Arial" w:cs="Arial" w:hint="eastAsia"/>
          <w:b/>
          <w:color w:val="333333"/>
          <w:kern w:val="0"/>
          <w:sz w:val="36"/>
          <w:szCs w:val="36"/>
        </w:rPr>
        <w:t>学</w:t>
      </w:r>
      <w:r>
        <w:rPr>
          <w:rFonts w:ascii="Arial" w:hAnsi="Arial" w:cs="Arial" w:hint="eastAsia"/>
          <w:b/>
          <w:color w:val="333333"/>
          <w:kern w:val="0"/>
          <w:sz w:val="36"/>
          <w:szCs w:val="36"/>
        </w:rPr>
        <w:t xml:space="preserve"> </w:t>
      </w:r>
      <w:r w:rsidRPr="00AA2D76">
        <w:rPr>
          <w:rFonts w:ascii="Arial" w:hAnsi="Arial" w:cs="Arial" w:hint="eastAsia"/>
          <w:b/>
          <w:color w:val="333333"/>
          <w:kern w:val="0"/>
          <w:sz w:val="36"/>
          <w:szCs w:val="36"/>
        </w:rPr>
        <w:t>员</w:t>
      </w:r>
      <w:r>
        <w:rPr>
          <w:rFonts w:ascii="Arial" w:hAnsi="Arial" w:cs="Arial" w:hint="eastAsia"/>
          <w:b/>
          <w:color w:val="333333"/>
          <w:kern w:val="0"/>
          <w:sz w:val="36"/>
          <w:szCs w:val="36"/>
        </w:rPr>
        <w:t xml:space="preserve"> </w:t>
      </w:r>
      <w:r w:rsidRPr="00AA2D76">
        <w:rPr>
          <w:rFonts w:ascii="Arial" w:hAnsi="Arial" w:cs="Arial" w:hint="eastAsia"/>
          <w:b/>
          <w:color w:val="333333"/>
          <w:kern w:val="0"/>
          <w:sz w:val="36"/>
          <w:szCs w:val="36"/>
        </w:rPr>
        <w:t>须</w:t>
      </w:r>
      <w:r>
        <w:rPr>
          <w:rFonts w:ascii="Arial" w:hAnsi="Arial" w:cs="Arial" w:hint="eastAsia"/>
          <w:b/>
          <w:color w:val="333333"/>
          <w:kern w:val="0"/>
          <w:sz w:val="36"/>
          <w:szCs w:val="36"/>
        </w:rPr>
        <w:t xml:space="preserve"> </w:t>
      </w:r>
      <w:r w:rsidRPr="00AA2D76">
        <w:rPr>
          <w:rFonts w:ascii="Arial" w:hAnsi="Arial" w:cs="Arial" w:hint="eastAsia"/>
          <w:b/>
          <w:color w:val="333333"/>
          <w:kern w:val="0"/>
          <w:sz w:val="36"/>
          <w:szCs w:val="36"/>
        </w:rPr>
        <w:t>知</w:t>
      </w:r>
    </w:p>
    <w:p w:rsidR="00DE585E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Arial" w:hAnsi="Arial" w:cs="Arial" w:hint="eastAsia"/>
          <w:color w:val="333333"/>
          <w:kern w:val="0"/>
          <w:sz w:val="32"/>
          <w:szCs w:val="32"/>
        </w:rPr>
      </w:pPr>
    </w:p>
    <w:p w:rsidR="00DE585E" w:rsidRPr="00AA2D76" w:rsidRDefault="00DE585E" w:rsidP="00DE585E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尊敬的学员：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您好！欢迎您参加“广东省注册会计师协会非执业会员继续教育培训”课程。现将会务相关事宜温馨提醒如下：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3"/>
        <w:jc w:val="left"/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课程安排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3399"/>
        <w:gridCol w:w="2748"/>
      </w:tblGrid>
      <w:tr w:rsidR="00DE585E" w:rsidRPr="00457E67" w:rsidTr="00B017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00" w:firstLine="643"/>
              <w:jc w:val="center"/>
              <w:rPr>
                <w:rFonts w:ascii="Arial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457E67">
              <w:rPr>
                <w:rFonts w:ascii="Arial" w:hAnsi="Arial" w:cs="Arial" w:hint="eastAsia"/>
                <w:b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350" w:firstLine="1124"/>
              <w:rPr>
                <w:rFonts w:ascii="Arial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457E67">
              <w:rPr>
                <w:rFonts w:ascii="Arial" w:hAnsi="Arial" w:cs="Arial" w:hint="eastAsia"/>
                <w:b/>
                <w:color w:val="333333"/>
                <w:kern w:val="0"/>
                <w:sz w:val="32"/>
                <w:szCs w:val="32"/>
              </w:rPr>
              <w:t>内容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00" w:firstLine="643"/>
              <w:rPr>
                <w:rFonts w:ascii="Arial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457E67">
              <w:rPr>
                <w:rFonts w:ascii="Arial" w:hAnsi="Arial" w:cs="Arial" w:hint="eastAsia"/>
                <w:b/>
                <w:color w:val="333333"/>
                <w:kern w:val="0"/>
                <w:sz w:val="32"/>
                <w:szCs w:val="32"/>
              </w:rPr>
              <w:t>主讲人</w:t>
            </w:r>
          </w:p>
        </w:tc>
      </w:tr>
      <w:tr w:rsidR="00DE585E" w:rsidRPr="00457E67" w:rsidTr="00B017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00" w:firstLine="480"/>
              <w:jc w:val="left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5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19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上午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9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00-12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粤港澳大湾区与企业转型升级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广东海上丝绸之路研究院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邓江年博士</w:t>
            </w:r>
          </w:p>
        </w:tc>
      </w:tr>
      <w:tr w:rsidR="00DE585E" w:rsidRPr="00457E67" w:rsidTr="00B017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00" w:firstLine="480"/>
              <w:jc w:val="left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5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19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下午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14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00-17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50" w:firstLine="600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战略管理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中山大学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傅慧教授</w:t>
            </w:r>
          </w:p>
        </w:tc>
      </w:tr>
      <w:tr w:rsidR="00DE585E" w:rsidRPr="00457E67" w:rsidTr="00B017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00" w:firstLine="480"/>
              <w:jc w:val="left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5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20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上午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9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00-12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财务分析与人工智能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中山大学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陈玉罡教授</w:t>
            </w:r>
          </w:p>
        </w:tc>
      </w:tr>
      <w:tr w:rsidR="00DE585E" w:rsidRPr="00457E67" w:rsidTr="00B017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200" w:firstLine="480"/>
              <w:jc w:val="left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5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20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下午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14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00-17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：</w:t>
            </w: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ind w:firstLineChars="100" w:firstLine="240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可持续发展与会计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暨南大学</w:t>
            </w:r>
          </w:p>
          <w:p w:rsidR="00DE585E" w:rsidRPr="00457E67" w:rsidRDefault="00DE585E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4"/>
                <w:szCs w:val="24"/>
              </w:rPr>
            </w:pPr>
            <w:r w:rsidRPr="00457E67">
              <w:rPr>
                <w:rFonts w:ascii="Arial" w:hAnsi="Arial" w:cs="Arial" w:hint="eastAsia"/>
                <w:color w:val="333333"/>
                <w:kern w:val="0"/>
                <w:sz w:val="24"/>
                <w:szCs w:val="24"/>
              </w:rPr>
              <w:t>沈洪涛教授</w:t>
            </w:r>
          </w:p>
        </w:tc>
      </w:tr>
    </w:tbl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上课时间：2018年5月19日-20日（上午09:00-12:00，下午14:00-17:00）请您至少提前15分钟签到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上课地点：东山宾馆会议中心四海厅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午餐地点：东山食府大厅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酒店电话：020-87773722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培训费用：培训费400元/人，含午餐、资料费及茶歇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特别说明：本次培训费用不包含住宿费。如有住宿需要，会务组可协助预定。请需要开具发票的学员通过微信、短信或电话等方式告知会务组。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会务联系：邓老师：020-87570802，18588633739（微信），邮箱：dengyuanyuan@solgrand.com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付款方式：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收款单位：广东省管理会计师协会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收款账号：1209 1081 1710 102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开户银行：招商银行广州分行营业部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支 付 宝：cfo@gamachina.org（广东省管理会计师协会）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付款时请备注【单位及人数】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交通指南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自驾指引：广州市越秀区三育路44号东山宾馆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公共交通指引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公交：犀牛路口(公交站)：112路、16路、189路、192路、221路、223路、225路、285路、287路、535路、550路、63路、夜15路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羊城晚报社站(公交站)：185路、189路、204路、261路、27路、283路、284路、293路、2路、305路、305路支线、517路、518路、542路、54路、550路、56路、62A</w:t>
      </w: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路、62路、B4A路、B4路、B4路快线、夜18路、夜36路、夜38路、广283路班车、广高峰快线30路、高峰快线14路、高峰快线23路、高峰快线38路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地铁：地铁5、6号线区庄站B2口，步行536米至东山宾馆（约10分钟）。</w:t>
      </w:r>
    </w:p>
    <w:p w:rsidR="00DE585E" w:rsidRPr="00963BCF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Arial" w:hAnsi="Arial" w:cs="Arial" w:hint="eastAsia"/>
          <w:color w:val="333333"/>
          <w:kern w:val="0"/>
          <w:sz w:val="32"/>
          <w:szCs w:val="32"/>
        </w:rPr>
      </w:pPr>
      <w:r>
        <w:rPr>
          <w:rFonts w:ascii="Arial" w:hAnsi="Arial" w:cs="Arial"/>
          <w:noProof/>
          <w:color w:val="333333"/>
          <w:kern w:val="0"/>
          <w:sz w:val="32"/>
          <w:szCs w:val="32"/>
        </w:rPr>
        <w:drawing>
          <wp:inline distT="0" distB="0" distL="0" distR="0">
            <wp:extent cx="40767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5E" w:rsidRPr="00963BCF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Arial" w:hAnsi="Arial" w:cs="Arial" w:hint="eastAsia"/>
          <w:color w:val="333333"/>
          <w:kern w:val="0"/>
          <w:sz w:val="32"/>
          <w:szCs w:val="32"/>
        </w:rPr>
      </w:pPr>
    </w:p>
    <w:p w:rsidR="00DE585E" w:rsidRPr="00AE36A0" w:rsidRDefault="00DE585E" w:rsidP="00DE585E">
      <w:pPr>
        <w:widowControl/>
        <w:shd w:val="clear" w:color="auto" w:fill="FFFFFF"/>
        <w:ind w:firstLineChars="200" w:firstLine="643"/>
        <w:jc w:val="left"/>
        <w:rPr>
          <w:rFonts w:ascii="Arial" w:hAnsi="Arial" w:cs="Arial" w:hint="eastAsia"/>
          <w:b/>
          <w:color w:val="333333"/>
          <w:kern w:val="0"/>
          <w:sz w:val="32"/>
          <w:szCs w:val="32"/>
        </w:rPr>
      </w:pPr>
      <w:r w:rsidRPr="00AE36A0">
        <w:rPr>
          <w:rFonts w:ascii="Arial" w:hAnsi="Arial" w:cs="Arial" w:hint="eastAsia"/>
          <w:b/>
          <w:color w:val="333333"/>
          <w:kern w:val="0"/>
          <w:sz w:val="32"/>
          <w:szCs w:val="32"/>
        </w:rPr>
        <w:t>课程大纲及师资介绍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邓江年博士 暨南大学经济学博士，广东省社会科学院广东海上丝绸之路研究院院长，研究员、博士，长期从事区域经济和海洋产业研究，出版了《劳动力资源配置和产业转型升级：机遇广东的实践》《劳动力迁移就业与农业生产效率研究》《“一带一路”资本合作机制研究》等专著。参编</w:t>
      </w: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书籍十多部，在核心期刊发表论文十多篇，在省级以上报刊理论版发表文章100多篇，获得广东省哲学社会科学优秀成果奖一等奖和二等奖。参与申请并完成两项国家社科基金重大项目《科学发展观视阈的文化改革发展研究》和《构建21世纪海上丝绸之路的社会和文化基础研究》及一项国家社科基金一般项目《海洋经济供给侧结构性改革的实现路径研究》。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傅慧教授 中山大学管理学院教授，企业管理博士（企业战略与组织方向），中山大学管理学院工商管理学术主任，广州市会展业行业协会顾问。2002-2003年赴美国华盛顿大学Foster商学院访问。2003年11月至2003年12月作为广州市政府考察团特邀专家赴欧洲考察现代服务业经营管理。2008年赴哈佛大学哈佛商学院进行案例研究学习，2009年赴新加坡南洋理工大学进行案例教学学习。在国内外重要核心期刊发表学术论文多篇，出版学术专著《基于知识和学习能力的企业竞争优势研究》、《技术创新与产业联动》等多部。基于其突出的科研贡献与教学成效，傅慧教授荣获2015年何氏教育基金杰出科研贡献一等奖，2013年何氏教育基金杰出教学贡献一等奖。担任中山大学管理学院MBA，EDP，MPM等项目的核心课程《战略管理》，《战略管理与企业竞争优势》，《情绪管理》的主讲教授。主要研究领域涵盖：战略</w:t>
      </w: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管理，创业管理。其研究得到了国家自然科学基金、教育部人文社科基金，广东省社科基金，广东省自然科学基金等多个项目的支持。傅慧教授同时有着丰富的企业战略管理咨询经验，曾为多家企业和政府部门提供战略规划咨询。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陈玉罡教授 中山大学博士，中山大学管理学院教授，财务与投资系副主任，长期从事并购及理财的研究。承担国家自然科学基金项目、国家软科学基金、教育部人文社科等多个项目，并曾为深圳市龙岗区等政府机构和粤海集团、广东省高速公路有限公司等大型企业提供咨询服务。在《经济研究》等杂志发表多篇论文。著有《并购中的价值驱动指标体系》等专著。主讲公司并购、互联网金融、个人理财等课程。</w:t>
      </w: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DE585E" w:rsidRPr="00AA2D76" w:rsidRDefault="00DE585E" w:rsidP="00DE585E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沈洪涛教授 厦门大学博士，北京大学博士后。暨南大学管理学院教授、博士生导师。财政部首批会计学术领军人才，中国会计学会理事，中国环境资源会计专业委员会委员，《会计研究》编委，China Journal of Accounting Studies编委。2017年入选财政部“会计名家”培养工程。主持国家自然科学基金面上项目3项，作为主要成员参与国家社科重大和重点项目各1项；在《金融研究》、《世界经济》、《会计研究》、《南开管理评论》、《中国会计评论》、《审计</w:t>
      </w:r>
      <w:r w:rsidRPr="00AA2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研究》、《International Journal of Auditing》等学术期刊发表论文数十篇；出版专著《企业环境信息披露》、《公司社会责任思想》和《公司财务理论主流》。教学成果获得广东省第六届和第七届教学成果奖一等奖，主持教育部首批来华留学英语品牌课程，主持广东省教学改革项目，担任国家级和省级教学团队主要成员，获评暨南大学“十佳”授课教师。曾在黄埔海关、广东省人民政府部门、普华永道国际会计公司工作。曾为国务院国资委、中国注册会计师协会、广东省房地产行业协会、宝钢集团、南方电网、越秀地产、珠江实业等企事业单位提供培训与咨询服务，担任多家上市公司独立董事。</w:t>
      </w:r>
    </w:p>
    <w:p w:rsidR="007E1EE1" w:rsidRPr="00DE585E" w:rsidRDefault="007E1EE1"/>
    <w:sectPr w:rsidR="007E1EE1" w:rsidRPr="00DE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5E"/>
    <w:rsid w:val="007E1EE1"/>
    <w:rsid w:val="00D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58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585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58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58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</Words>
  <Characters>2103</Characters>
  <Application>Microsoft Office Word</Application>
  <DocSecurity>0</DocSecurity>
  <Lines>17</Lines>
  <Paragraphs>4</Paragraphs>
  <ScaleCrop>false</ScaleCrop>
  <Company>szx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2018-05-03T04:45:00Z</dcterms:created>
  <dcterms:modified xsi:type="dcterms:W3CDTF">2018-05-03T04:45:00Z</dcterms:modified>
</cp:coreProperties>
</file>