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964" w:rsidRPr="0001344E" w:rsidRDefault="00A32964" w:rsidP="00A32964">
      <w:pPr>
        <w:spacing w:line="360" w:lineRule="exact"/>
        <w:jc w:val="left"/>
        <w:rPr>
          <w:rFonts w:ascii="宋体" w:hAnsi="宋体"/>
          <w:b/>
          <w:sz w:val="28"/>
        </w:rPr>
      </w:pPr>
      <w:r w:rsidRPr="0001344E">
        <w:rPr>
          <w:rFonts w:ascii="宋体" w:hAnsi="宋体" w:hint="eastAsia"/>
          <w:b/>
          <w:sz w:val="28"/>
        </w:rPr>
        <w:t>附件3:</w:t>
      </w:r>
    </w:p>
    <w:p w:rsidR="00A32964" w:rsidRDefault="00A32964" w:rsidP="00A32964">
      <w:pPr>
        <w:widowControl/>
        <w:jc w:val="center"/>
        <w:rPr>
          <w:rFonts w:ascii="宋体" w:hAnsi="宋体"/>
          <w:b/>
          <w:sz w:val="32"/>
          <w:szCs w:val="32"/>
        </w:rPr>
      </w:pPr>
    </w:p>
    <w:p w:rsidR="00A32964" w:rsidRPr="00CF59EC" w:rsidRDefault="00A32964" w:rsidP="00A32964">
      <w:pPr>
        <w:widowControl/>
        <w:jc w:val="center"/>
        <w:rPr>
          <w:rFonts w:ascii="宋体" w:hAnsi="宋体"/>
          <w:b/>
          <w:sz w:val="32"/>
          <w:szCs w:val="32"/>
        </w:rPr>
      </w:pPr>
      <w:bookmarkStart w:id="0" w:name="_GoBack"/>
      <w:r w:rsidRPr="00CF59EC">
        <w:rPr>
          <w:rFonts w:ascii="宋体" w:hAnsi="宋体" w:hint="eastAsia"/>
          <w:b/>
          <w:sz w:val="32"/>
          <w:szCs w:val="32"/>
        </w:rPr>
        <w:t>广东省注册会计师协会非执业会员继续教育培训</w:t>
      </w:r>
      <w:r>
        <w:rPr>
          <w:rFonts w:ascii="宋体" w:hAnsi="宋体" w:hint="eastAsia"/>
          <w:b/>
          <w:sz w:val="32"/>
          <w:szCs w:val="32"/>
        </w:rPr>
        <w:t>学员</w:t>
      </w:r>
      <w:r>
        <w:rPr>
          <w:rFonts w:ascii="宋体" w:hAnsi="宋体"/>
          <w:b/>
          <w:sz w:val="32"/>
          <w:szCs w:val="32"/>
        </w:rPr>
        <w:t>须知</w:t>
      </w:r>
    </w:p>
    <w:bookmarkEnd w:id="0"/>
    <w:p w:rsidR="00A32964" w:rsidRPr="00CF59EC" w:rsidRDefault="00A32964" w:rsidP="00A32964">
      <w:pPr>
        <w:widowControl/>
        <w:ind w:firstLine="1"/>
        <w:rPr>
          <w:rFonts w:ascii="楷体" w:eastAsia="楷体" w:hAnsi="楷体"/>
          <w:b/>
          <w:color w:val="00B050"/>
          <w:sz w:val="28"/>
          <w:szCs w:val="28"/>
        </w:rPr>
      </w:pPr>
    </w:p>
    <w:p w:rsidR="00A32964" w:rsidRPr="0001344E" w:rsidRDefault="00A32964" w:rsidP="00A32964">
      <w:pPr>
        <w:widowControl/>
        <w:ind w:firstLine="1"/>
        <w:rPr>
          <w:rFonts w:ascii="宋体" w:hAnsi="宋体" w:hint="eastAsia"/>
          <w:b/>
          <w:color w:val="000000"/>
          <w:sz w:val="32"/>
          <w:szCs w:val="28"/>
        </w:rPr>
      </w:pPr>
      <w:r w:rsidRPr="0001344E">
        <w:rPr>
          <w:rFonts w:ascii="宋体" w:hAnsi="宋体" w:hint="eastAsia"/>
          <w:b/>
          <w:color w:val="000000"/>
          <w:sz w:val="32"/>
          <w:szCs w:val="28"/>
        </w:rPr>
        <w:t>课程安排</w:t>
      </w:r>
      <w:r w:rsidRPr="00C21227">
        <w:rPr>
          <w:rFonts w:ascii="宋体" w:hAnsi="宋体" w:hint="eastAsia"/>
          <w:b/>
          <w:color w:val="000000"/>
          <w:sz w:val="32"/>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3540"/>
        <w:gridCol w:w="2748"/>
      </w:tblGrid>
      <w:tr w:rsidR="00A32964" w:rsidRPr="00CF59EC" w:rsidTr="0001344E">
        <w:tc>
          <w:tcPr>
            <w:tcW w:w="2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2964" w:rsidRPr="006A26C0" w:rsidRDefault="00A32964" w:rsidP="0001344E">
            <w:pPr>
              <w:spacing w:line="400" w:lineRule="exact"/>
              <w:jc w:val="center"/>
              <w:rPr>
                <w:rFonts w:ascii="宋体" w:hAnsi="宋体" w:cs="宋体"/>
                <w:b/>
                <w:sz w:val="24"/>
              </w:rPr>
            </w:pPr>
            <w:r w:rsidRPr="006A26C0">
              <w:rPr>
                <w:rFonts w:ascii="宋体" w:hAnsi="宋体" w:cs="宋体" w:hint="eastAsia"/>
                <w:b/>
                <w:sz w:val="24"/>
              </w:rPr>
              <w:t>时间</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2964" w:rsidRPr="006A26C0" w:rsidRDefault="00A32964" w:rsidP="0001344E">
            <w:pPr>
              <w:spacing w:line="400" w:lineRule="exact"/>
              <w:jc w:val="center"/>
              <w:rPr>
                <w:rFonts w:ascii="宋体" w:hAnsi="宋体" w:cs="宋体"/>
                <w:b/>
                <w:sz w:val="24"/>
              </w:rPr>
            </w:pPr>
            <w:r w:rsidRPr="006A26C0">
              <w:rPr>
                <w:rFonts w:ascii="宋体" w:hAnsi="宋体" w:cs="宋体" w:hint="eastAsia"/>
                <w:b/>
                <w:sz w:val="24"/>
              </w:rPr>
              <w:t>内容</w:t>
            </w:r>
          </w:p>
        </w:tc>
        <w:tc>
          <w:tcPr>
            <w:tcW w:w="2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2964" w:rsidRPr="006A26C0" w:rsidRDefault="00A32964" w:rsidP="0001344E">
            <w:pPr>
              <w:spacing w:line="400" w:lineRule="exact"/>
              <w:jc w:val="center"/>
              <w:rPr>
                <w:rFonts w:ascii="宋体" w:hAnsi="宋体" w:cs="宋体"/>
                <w:b/>
                <w:sz w:val="24"/>
              </w:rPr>
            </w:pPr>
            <w:r w:rsidRPr="006A26C0">
              <w:rPr>
                <w:rFonts w:ascii="宋体" w:hAnsi="宋体" w:cs="宋体" w:hint="eastAsia"/>
                <w:b/>
                <w:sz w:val="24"/>
              </w:rPr>
              <w:t>主讲人</w:t>
            </w:r>
          </w:p>
        </w:tc>
      </w:tr>
      <w:tr w:rsidR="00A32964" w:rsidRPr="00CF59EC" w:rsidTr="0001344E">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A32964" w:rsidRPr="006A26C0" w:rsidRDefault="00A32964" w:rsidP="0001344E">
            <w:pPr>
              <w:spacing w:line="400" w:lineRule="exact"/>
              <w:rPr>
                <w:rFonts w:ascii="宋体" w:hAnsi="宋体" w:cs="宋体"/>
                <w:sz w:val="24"/>
              </w:rPr>
            </w:pPr>
            <w:r w:rsidRPr="006A26C0">
              <w:rPr>
                <w:rFonts w:ascii="宋体" w:hAnsi="宋体" w:cs="宋体" w:hint="eastAsia"/>
                <w:sz w:val="24"/>
              </w:rPr>
              <w:t>5.13上午9：00-12：00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A32964" w:rsidRPr="006A26C0" w:rsidRDefault="00A32964" w:rsidP="0001344E">
            <w:pPr>
              <w:spacing w:line="400" w:lineRule="exact"/>
              <w:rPr>
                <w:rFonts w:ascii="宋体" w:hAnsi="宋体"/>
                <w:sz w:val="24"/>
              </w:rPr>
            </w:pPr>
            <w:r w:rsidRPr="006A26C0">
              <w:rPr>
                <w:rFonts w:ascii="宋体" w:hAnsi="宋体" w:hint="eastAsia"/>
                <w:sz w:val="24"/>
              </w:rPr>
              <w:t>企业并购重组中的税法问题</w:t>
            </w:r>
          </w:p>
        </w:tc>
        <w:tc>
          <w:tcPr>
            <w:tcW w:w="2750" w:type="dxa"/>
            <w:tcBorders>
              <w:top w:val="single" w:sz="4" w:space="0" w:color="auto"/>
              <w:left w:val="single" w:sz="4" w:space="0" w:color="auto"/>
              <w:bottom w:val="single" w:sz="4" w:space="0" w:color="auto"/>
              <w:right w:val="single" w:sz="4" w:space="0" w:color="auto"/>
            </w:tcBorders>
            <w:shd w:val="clear" w:color="auto" w:fill="auto"/>
            <w:vAlign w:val="center"/>
          </w:tcPr>
          <w:p w:rsidR="00A32964" w:rsidRPr="006A26C0" w:rsidRDefault="00A32964" w:rsidP="0001344E">
            <w:pPr>
              <w:spacing w:line="400" w:lineRule="exact"/>
              <w:rPr>
                <w:rFonts w:ascii="宋体" w:hAnsi="宋体" w:cs="宋体"/>
                <w:sz w:val="24"/>
              </w:rPr>
            </w:pPr>
            <w:r w:rsidRPr="006A26C0">
              <w:rPr>
                <w:rFonts w:ascii="宋体" w:hAnsi="宋体" w:cs="宋体" w:hint="eastAsia"/>
                <w:sz w:val="24"/>
              </w:rPr>
              <w:t>中山大学宋小宁副教授</w:t>
            </w:r>
          </w:p>
        </w:tc>
      </w:tr>
      <w:tr w:rsidR="00A32964" w:rsidRPr="00CF59EC" w:rsidTr="0001344E">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A32964" w:rsidRPr="006A26C0" w:rsidRDefault="00A32964" w:rsidP="0001344E">
            <w:pPr>
              <w:spacing w:line="400" w:lineRule="exact"/>
              <w:rPr>
                <w:rFonts w:ascii="宋体" w:hAnsi="宋体" w:cs="宋体"/>
                <w:sz w:val="24"/>
              </w:rPr>
            </w:pPr>
            <w:r w:rsidRPr="006A26C0">
              <w:rPr>
                <w:rFonts w:ascii="宋体" w:hAnsi="宋体" w:cs="宋体" w:hint="eastAsia"/>
                <w:sz w:val="24"/>
              </w:rPr>
              <w:t>5.13下午14：00-17：00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A32964" w:rsidRPr="006A26C0" w:rsidRDefault="00A32964" w:rsidP="0001344E">
            <w:pPr>
              <w:spacing w:line="400" w:lineRule="exact"/>
              <w:rPr>
                <w:rFonts w:ascii="宋体" w:hAnsi="宋体" w:cs="宋体"/>
                <w:sz w:val="24"/>
              </w:rPr>
            </w:pPr>
            <w:r w:rsidRPr="006A26C0">
              <w:rPr>
                <w:rFonts w:ascii="宋体" w:hAnsi="宋体" w:cs="宋体" w:hint="eastAsia"/>
                <w:sz w:val="24"/>
              </w:rPr>
              <w:t>一带</w:t>
            </w:r>
            <w:proofErr w:type="gramStart"/>
            <w:r w:rsidRPr="006A26C0">
              <w:rPr>
                <w:rFonts w:ascii="宋体" w:hAnsi="宋体" w:cs="宋体" w:hint="eastAsia"/>
                <w:sz w:val="24"/>
              </w:rPr>
              <w:t>一路国家</w:t>
            </w:r>
            <w:proofErr w:type="gramEnd"/>
            <w:r w:rsidRPr="006A26C0">
              <w:rPr>
                <w:rFonts w:ascii="宋体" w:hAnsi="宋体" w:cs="宋体" w:hint="eastAsia"/>
                <w:sz w:val="24"/>
              </w:rPr>
              <w:t>战略与企业转型升级</w:t>
            </w:r>
          </w:p>
        </w:tc>
        <w:tc>
          <w:tcPr>
            <w:tcW w:w="2750" w:type="dxa"/>
            <w:tcBorders>
              <w:top w:val="single" w:sz="4" w:space="0" w:color="auto"/>
              <w:left w:val="single" w:sz="4" w:space="0" w:color="auto"/>
              <w:bottom w:val="single" w:sz="4" w:space="0" w:color="auto"/>
              <w:right w:val="single" w:sz="4" w:space="0" w:color="auto"/>
            </w:tcBorders>
            <w:shd w:val="clear" w:color="auto" w:fill="auto"/>
            <w:vAlign w:val="center"/>
          </w:tcPr>
          <w:p w:rsidR="00A32964" w:rsidRPr="006A26C0" w:rsidRDefault="00A32964" w:rsidP="0001344E">
            <w:pPr>
              <w:spacing w:line="400" w:lineRule="exact"/>
              <w:rPr>
                <w:rFonts w:ascii="宋体" w:hAnsi="宋体" w:cs="宋体"/>
                <w:bCs/>
                <w:sz w:val="24"/>
              </w:rPr>
            </w:pPr>
            <w:r w:rsidRPr="006A26C0">
              <w:rPr>
                <w:rFonts w:ascii="宋体" w:hAnsi="宋体" w:cs="宋体" w:hint="eastAsia"/>
                <w:bCs/>
                <w:sz w:val="24"/>
              </w:rPr>
              <w:t>广东省社会科学院邓江年博士</w:t>
            </w:r>
          </w:p>
        </w:tc>
      </w:tr>
      <w:tr w:rsidR="00A32964" w:rsidRPr="00CF59EC" w:rsidTr="0001344E">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A32964" w:rsidRPr="006A26C0" w:rsidRDefault="00A32964" w:rsidP="0001344E">
            <w:pPr>
              <w:spacing w:line="400" w:lineRule="exact"/>
              <w:rPr>
                <w:rFonts w:ascii="宋体" w:hAnsi="宋体" w:cs="宋体"/>
                <w:sz w:val="24"/>
              </w:rPr>
            </w:pPr>
            <w:r w:rsidRPr="006A26C0">
              <w:rPr>
                <w:rFonts w:ascii="宋体" w:hAnsi="宋体" w:cs="宋体" w:hint="eastAsia"/>
                <w:sz w:val="24"/>
              </w:rPr>
              <w:t>5.14上午9：00-12：00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A32964" w:rsidRPr="006A26C0" w:rsidRDefault="00A32964" w:rsidP="0001344E">
            <w:pPr>
              <w:spacing w:line="400" w:lineRule="exact"/>
              <w:rPr>
                <w:rFonts w:ascii="宋体" w:hAnsi="宋体"/>
                <w:sz w:val="24"/>
              </w:rPr>
            </w:pPr>
            <w:r w:rsidRPr="006A26C0">
              <w:rPr>
                <w:rFonts w:ascii="宋体" w:hAnsi="宋体" w:hint="eastAsia"/>
                <w:sz w:val="24"/>
              </w:rPr>
              <w:t>会计准则的最新变化及解析</w:t>
            </w:r>
          </w:p>
        </w:tc>
        <w:tc>
          <w:tcPr>
            <w:tcW w:w="2750" w:type="dxa"/>
            <w:tcBorders>
              <w:top w:val="single" w:sz="4" w:space="0" w:color="auto"/>
              <w:left w:val="single" w:sz="4" w:space="0" w:color="auto"/>
              <w:bottom w:val="single" w:sz="4" w:space="0" w:color="auto"/>
              <w:right w:val="single" w:sz="4" w:space="0" w:color="auto"/>
            </w:tcBorders>
            <w:shd w:val="clear" w:color="auto" w:fill="auto"/>
            <w:vAlign w:val="center"/>
          </w:tcPr>
          <w:p w:rsidR="00A32964" w:rsidRPr="006A26C0" w:rsidRDefault="00A32964" w:rsidP="0001344E">
            <w:pPr>
              <w:spacing w:line="400" w:lineRule="exact"/>
              <w:rPr>
                <w:rFonts w:ascii="宋体" w:hAnsi="宋体" w:cs="宋体"/>
                <w:sz w:val="24"/>
              </w:rPr>
            </w:pPr>
            <w:r w:rsidRPr="006A26C0">
              <w:rPr>
                <w:rFonts w:ascii="宋体" w:hAnsi="宋体" w:cs="宋体" w:hint="eastAsia"/>
                <w:sz w:val="24"/>
              </w:rPr>
              <w:t>暨南大学石本仁教授</w:t>
            </w:r>
          </w:p>
        </w:tc>
      </w:tr>
      <w:tr w:rsidR="00A32964" w:rsidRPr="00CF59EC" w:rsidTr="0001344E">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A32964" w:rsidRPr="006A26C0" w:rsidRDefault="00A32964" w:rsidP="0001344E">
            <w:pPr>
              <w:spacing w:line="400" w:lineRule="exact"/>
              <w:rPr>
                <w:rFonts w:ascii="宋体" w:hAnsi="宋体" w:cs="宋体"/>
                <w:sz w:val="24"/>
              </w:rPr>
            </w:pPr>
            <w:r w:rsidRPr="006A26C0">
              <w:rPr>
                <w:rFonts w:ascii="宋体" w:hAnsi="宋体" w:cs="宋体" w:hint="eastAsia"/>
                <w:sz w:val="24"/>
              </w:rPr>
              <w:t>5.14下午14：00-17：00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A32964" w:rsidRPr="006A26C0" w:rsidRDefault="00A32964" w:rsidP="0001344E">
            <w:pPr>
              <w:spacing w:line="400" w:lineRule="exact"/>
              <w:rPr>
                <w:rFonts w:ascii="宋体" w:hAnsi="宋体"/>
                <w:sz w:val="24"/>
              </w:rPr>
            </w:pPr>
            <w:r w:rsidRPr="006A26C0">
              <w:rPr>
                <w:rFonts w:ascii="宋体" w:hAnsi="宋体" w:cs="宋体" w:hint="eastAsia"/>
                <w:sz w:val="24"/>
              </w:rPr>
              <w:t>管理会计与企业价值创造</w:t>
            </w:r>
          </w:p>
        </w:tc>
        <w:tc>
          <w:tcPr>
            <w:tcW w:w="2750" w:type="dxa"/>
            <w:tcBorders>
              <w:top w:val="single" w:sz="4" w:space="0" w:color="auto"/>
              <w:left w:val="single" w:sz="4" w:space="0" w:color="auto"/>
              <w:bottom w:val="single" w:sz="4" w:space="0" w:color="auto"/>
              <w:right w:val="single" w:sz="4" w:space="0" w:color="auto"/>
            </w:tcBorders>
            <w:shd w:val="clear" w:color="auto" w:fill="auto"/>
            <w:vAlign w:val="center"/>
          </w:tcPr>
          <w:p w:rsidR="00A32964" w:rsidRPr="006A26C0" w:rsidRDefault="00A32964" w:rsidP="0001344E">
            <w:pPr>
              <w:spacing w:line="400" w:lineRule="exact"/>
              <w:rPr>
                <w:rFonts w:ascii="宋体" w:hAnsi="宋体" w:cs="宋体"/>
                <w:sz w:val="24"/>
              </w:rPr>
            </w:pPr>
            <w:r w:rsidRPr="006A26C0">
              <w:rPr>
                <w:rFonts w:ascii="宋体" w:hAnsi="宋体" w:cs="宋体" w:hint="eastAsia"/>
                <w:sz w:val="24"/>
              </w:rPr>
              <w:t>广东外语外贸大学刘中华教授</w:t>
            </w:r>
          </w:p>
        </w:tc>
      </w:tr>
    </w:tbl>
    <w:p w:rsidR="00A32964" w:rsidRPr="00CF59EC" w:rsidRDefault="00A32964" w:rsidP="00A32964">
      <w:pPr>
        <w:widowControl/>
        <w:ind w:firstLineChars="200" w:firstLine="562"/>
        <w:jc w:val="left"/>
        <w:rPr>
          <w:rFonts w:ascii="楷体" w:eastAsia="楷体" w:hAnsi="楷体"/>
          <w:b/>
          <w:color w:val="00B050"/>
          <w:sz w:val="28"/>
          <w:szCs w:val="28"/>
        </w:rPr>
      </w:pPr>
    </w:p>
    <w:p w:rsidR="00A32964" w:rsidRPr="00BB095C" w:rsidRDefault="00A32964" w:rsidP="00A32964">
      <w:pPr>
        <w:widowControl/>
        <w:spacing w:line="400" w:lineRule="exact"/>
        <w:ind w:left="1285" w:hangingChars="400" w:hanging="1285"/>
        <w:rPr>
          <w:rFonts w:ascii="宋体" w:hAnsi="宋体"/>
          <w:sz w:val="24"/>
          <w:szCs w:val="24"/>
        </w:rPr>
      </w:pPr>
      <w:r w:rsidRPr="0001344E">
        <w:rPr>
          <w:rFonts w:ascii="宋体" w:hAnsi="宋体" w:hint="eastAsia"/>
          <w:b/>
          <w:color w:val="000000"/>
          <w:sz w:val="32"/>
          <w:szCs w:val="28"/>
        </w:rPr>
        <w:t>上课时间：</w:t>
      </w:r>
      <w:r w:rsidRPr="00BB095C">
        <w:rPr>
          <w:rFonts w:ascii="宋体" w:hAnsi="宋体" w:hint="eastAsia"/>
          <w:sz w:val="24"/>
          <w:szCs w:val="24"/>
        </w:rPr>
        <w:t>2017年5月13日-14日（上午09:00-12:00，下午14:00-17:00）请您至少</w:t>
      </w:r>
      <w:r w:rsidRPr="00BB095C">
        <w:rPr>
          <w:rFonts w:ascii="宋体" w:hAnsi="宋体" w:hint="eastAsia"/>
          <w:sz w:val="24"/>
          <w:szCs w:val="24"/>
          <w:u w:val="single"/>
        </w:rPr>
        <w:t>提前15分钟</w:t>
      </w:r>
      <w:r w:rsidRPr="00BB095C">
        <w:rPr>
          <w:rFonts w:ascii="宋体" w:hAnsi="宋体" w:hint="eastAsia"/>
          <w:sz w:val="24"/>
          <w:szCs w:val="24"/>
        </w:rPr>
        <w:t>签到</w:t>
      </w:r>
    </w:p>
    <w:p w:rsidR="00A32964" w:rsidRPr="00CF59EC" w:rsidRDefault="00A32964" w:rsidP="00A32964">
      <w:pPr>
        <w:widowControl/>
        <w:ind w:left="964" w:hangingChars="400" w:hanging="964"/>
        <w:rPr>
          <w:rFonts w:ascii="楷体" w:eastAsia="楷体" w:hAnsi="楷体"/>
          <w:b/>
          <w:sz w:val="24"/>
          <w:szCs w:val="24"/>
        </w:rPr>
      </w:pPr>
    </w:p>
    <w:p w:rsidR="00A32964" w:rsidRPr="0001344E" w:rsidRDefault="00A32964" w:rsidP="00A32964">
      <w:pPr>
        <w:widowControl/>
        <w:spacing w:line="400" w:lineRule="exact"/>
        <w:rPr>
          <w:rFonts w:ascii="楷体" w:eastAsia="楷体" w:hAnsi="楷体"/>
          <w:b/>
          <w:color w:val="000000"/>
          <w:sz w:val="24"/>
          <w:szCs w:val="24"/>
        </w:rPr>
      </w:pPr>
      <w:r w:rsidRPr="0001344E">
        <w:rPr>
          <w:rFonts w:ascii="楷体" w:eastAsia="楷体" w:hAnsi="楷体" w:hint="eastAsia"/>
          <w:b/>
          <w:color w:val="000000"/>
          <w:sz w:val="32"/>
          <w:szCs w:val="28"/>
        </w:rPr>
        <w:t>上课地点：</w:t>
      </w:r>
      <w:r w:rsidRPr="0001344E">
        <w:rPr>
          <w:rFonts w:ascii="宋体" w:hAnsi="宋体" w:hint="eastAsia"/>
          <w:color w:val="000000"/>
          <w:sz w:val="24"/>
          <w:szCs w:val="24"/>
        </w:rPr>
        <w:t>广州市</w:t>
      </w:r>
      <w:proofErr w:type="gramStart"/>
      <w:r w:rsidRPr="0001344E">
        <w:rPr>
          <w:rFonts w:ascii="宋体" w:hAnsi="宋体" w:hint="eastAsia"/>
          <w:color w:val="000000"/>
          <w:sz w:val="24"/>
          <w:szCs w:val="24"/>
        </w:rPr>
        <w:t>越秀寺右一</w:t>
      </w:r>
      <w:proofErr w:type="gramEnd"/>
      <w:r w:rsidRPr="0001344E">
        <w:rPr>
          <w:rFonts w:ascii="宋体" w:hAnsi="宋体" w:hint="eastAsia"/>
          <w:color w:val="000000"/>
          <w:sz w:val="24"/>
          <w:szCs w:val="24"/>
        </w:rPr>
        <w:t>马路2号珠江宾馆会议中心3号会议室</w:t>
      </w:r>
    </w:p>
    <w:p w:rsidR="00A32964" w:rsidRPr="0001344E" w:rsidRDefault="00A32964" w:rsidP="00A32964">
      <w:pPr>
        <w:widowControl/>
        <w:spacing w:line="400" w:lineRule="exact"/>
        <w:rPr>
          <w:rFonts w:ascii="宋体" w:hAnsi="宋体"/>
          <w:color w:val="000000"/>
          <w:sz w:val="24"/>
          <w:szCs w:val="24"/>
        </w:rPr>
      </w:pPr>
      <w:r w:rsidRPr="0001344E">
        <w:rPr>
          <w:rFonts w:ascii="楷体" w:eastAsia="楷体" w:hAnsi="楷体" w:hint="eastAsia"/>
          <w:b/>
          <w:color w:val="000000"/>
          <w:sz w:val="32"/>
          <w:szCs w:val="28"/>
        </w:rPr>
        <w:t>午餐地点：</w:t>
      </w:r>
      <w:r w:rsidRPr="0001344E">
        <w:rPr>
          <w:rFonts w:ascii="宋体" w:hAnsi="宋体" w:hint="eastAsia"/>
          <w:color w:val="000000"/>
          <w:sz w:val="24"/>
          <w:szCs w:val="24"/>
        </w:rPr>
        <w:t>广州市</w:t>
      </w:r>
      <w:proofErr w:type="gramStart"/>
      <w:r w:rsidRPr="0001344E">
        <w:rPr>
          <w:rFonts w:ascii="宋体" w:hAnsi="宋体" w:hint="eastAsia"/>
          <w:color w:val="000000"/>
          <w:sz w:val="24"/>
          <w:szCs w:val="24"/>
        </w:rPr>
        <w:t>越秀寺右一</w:t>
      </w:r>
      <w:proofErr w:type="gramEnd"/>
      <w:r w:rsidRPr="0001344E">
        <w:rPr>
          <w:rFonts w:ascii="宋体" w:hAnsi="宋体" w:hint="eastAsia"/>
          <w:color w:val="000000"/>
          <w:sz w:val="24"/>
          <w:szCs w:val="24"/>
        </w:rPr>
        <w:t>马路2号珠江宾馆</w:t>
      </w:r>
    </w:p>
    <w:p w:rsidR="00A32964" w:rsidRPr="0001344E" w:rsidRDefault="00A32964" w:rsidP="00A32964">
      <w:pPr>
        <w:widowControl/>
        <w:spacing w:line="400" w:lineRule="exact"/>
        <w:rPr>
          <w:rFonts w:ascii="楷体" w:eastAsia="楷体" w:hAnsi="楷体"/>
          <w:b/>
          <w:color w:val="000000"/>
          <w:sz w:val="28"/>
          <w:szCs w:val="28"/>
        </w:rPr>
      </w:pPr>
      <w:r w:rsidRPr="0001344E">
        <w:rPr>
          <w:rFonts w:ascii="楷体" w:eastAsia="楷体" w:hAnsi="楷体" w:hint="eastAsia"/>
          <w:b/>
          <w:color w:val="000000"/>
          <w:sz w:val="32"/>
          <w:szCs w:val="28"/>
        </w:rPr>
        <w:t>咨询电话：</w:t>
      </w:r>
      <w:r w:rsidRPr="0001344E">
        <w:rPr>
          <w:rFonts w:ascii="宋体" w:hAnsi="宋体"/>
          <w:color w:val="000000"/>
          <w:sz w:val="24"/>
          <w:szCs w:val="24"/>
        </w:rPr>
        <w:t>020-</w:t>
      </w:r>
      <w:r w:rsidRPr="0001344E">
        <w:rPr>
          <w:rFonts w:ascii="宋体" w:hAnsi="宋体" w:hint="eastAsia"/>
          <w:color w:val="000000"/>
          <w:sz w:val="24"/>
          <w:szCs w:val="24"/>
        </w:rPr>
        <w:t>87570802，18588633739</w:t>
      </w:r>
    </w:p>
    <w:p w:rsidR="00A32964" w:rsidRPr="0001344E" w:rsidRDefault="00A32964" w:rsidP="00A32964">
      <w:pPr>
        <w:widowControl/>
        <w:jc w:val="left"/>
        <w:rPr>
          <w:rFonts w:ascii="楷体" w:eastAsia="楷体" w:hAnsi="楷体"/>
          <w:b/>
          <w:color w:val="000000"/>
          <w:sz w:val="28"/>
          <w:szCs w:val="28"/>
        </w:rPr>
      </w:pPr>
    </w:p>
    <w:p w:rsidR="00A32964" w:rsidRPr="0001344E" w:rsidRDefault="00A32964" w:rsidP="00A32964">
      <w:pPr>
        <w:widowControl/>
        <w:jc w:val="left"/>
        <w:rPr>
          <w:rFonts w:ascii="楷体" w:eastAsia="楷体" w:hAnsi="楷体"/>
          <w:b/>
          <w:color w:val="000000"/>
          <w:sz w:val="32"/>
          <w:szCs w:val="28"/>
        </w:rPr>
      </w:pPr>
      <w:r w:rsidRPr="0001344E">
        <w:rPr>
          <w:rFonts w:ascii="楷体" w:eastAsia="楷体" w:hAnsi="楷体" w:hint="eastAsia"/>
          <w:b/>
          <w:color w:val="000000"/>
          <w:sz w:val="32"/>
          <w:szCs w:val="28"/>
        </w:rPr>
        <w:t>特别说明</w:t>
      </w:r>
    </w:p>
    <w:p w:rsidR="00A32964" w:rsidRPr="0001344E" w:rsidRDefault="00A32964" w:rsidP="00A32964">
      <w:pPr>
        <w:widowControl/>
        <w:numPr>
          <w:ilvl w:val="0"/>
          <w:numId w:val="1"/>
        </w:numPr>
        <w:spacing w:line="400" w:lineRule="exact"/>
        <w:ind w:left="0" w:firstLine="0"/>
        <w:rPr>
          <w:rFonts w:ascii="宋体" w:hAnsi="宋体"/>
          <w:color w:val="000000"/>
          <w:sz w:val="24"/>
          <w:szCs w:val="24"/>
        </w:rPr>
      </w:pPr>
      <w:r w:rsidRPr="0001344E">
        <w:rPr>
          <w:rFonts w:ascii="宋体" w:hAnsi="宋体" w:hint="eastAsia"/>
          <w:color w:val="000000"/>
          <w:sz w:val="24"/>
          <w:szCs w:val="24"/>
        </w:rPr>
        <w:t>本次培训费用不包含住宿费。如学员有住宿需要，会务组可协助预定。</w:t>
      </w:r>
    </w:p>
    <w:p w:rsidR="00A32964" w:rsidRPr="0001344E" w:rsidRDefault="00A32964" w:rsidP="00A32964">
      <w:pPr>
        <w:widowControl/>
        <w:jc w:val="left"/>
        <w:rPr>
          <w:rFonts w:ascii="楷体" w:eastAsia="楷体" w:hAnsi="楷体"/>
          <w:b/>
          <w:color w:val="000000"/>
          <w:sz w:val="24"/>
        </w:rPr>
      </w:pPr>
    </w:p>
    <w:p w:rsidR="00A32964" w:rsidRPr="0001344E" w:rsidRDefault="00A32964" w:rsidP="00A32964">
      <w:pPr>
        <w:widowControl/>
        <w:jc w:val="left"/>
        <w:rPr>
          <w:rFonts w:ascii="楷体" w:eastAsia="楷体" w:hAnsi="楷体"/>
          <w:b/>
          <w:color w:val="000000"/>
          <w:sz w:val="32"/>
          <w:szCs w:val="28"/>
        </w:rPr>
      </w:pPr>
      <w:r w:rsidRPr="0001344E">
        <w:rPr>
          <w:rFonts w:ascii="楷体" w:eastAsia="楷体" w:hAnsi="楷体" w:hint="eastAsia"/>
          <w:b/>
          <w:color w:val="000000"/>
          <w:sz w:val="32"/>
          <w:szCs w:val="28"/>
        </w:rPr>
        <w:t>会务联系</w:t>
      </w:r>
    </w:p>
    <w:p w:rsidR="00A32964" w:rsidRPr="0001344E" w:rsidRDefault="00A32964" w:rsidP="00A32964">
      <w:pPr>
        <w:widowControl/>
        <w:spacing w:line="400" w:lineRule="exact"/>
        <w:rPr>
          <w:rFonts w:ascii="宋体" w:hAnsi="宋体"/>
          <w:color w:val="000000"/>
          <w:sz w:val="24"/>
          <w:szCs w:val="24"/>
        </w:rPr>
      </w:pPr>
      <w:r w:rsidRPr="0001344E">
        <w:rPr>
          <w:rFonts w:ascii="宋体" w:hAnsi="宋体" w:hint="eastAsia"/>
          <w:color w:val="000000"/>
          <w:sz w:val="24"/>
          <w:szCs w:val="24"/>
        </w:rPr>
        <w:t>李老师：18588633739（微信），邮箱：</w:t>
      </w:r>
      <w:hyperlink r:id="rId6" w:history="1">
        <w:r w:rsidRPr="0001344E">
          <w:rPr>
            <w:rFonts w:ascii="宋体" w:hAnsi="宋体" w:hint="eastAsia"/>
            <w:color w:val="000000"/>
            <w:sz w:val="24"/>
            <w:szCs w:val="24"/>
          </w:rPr>
          <w:t>zshdpeixun@solgrand.com</w:t>
        </w:r>
      </w:hyperlink>
    </w:p>
    <w:p w:rsidR="00A32964" w:rsidRPr="0001344E" w:rsidRDefault="00A32964" w:rsidP="00A32964">
      <w:pPr>
        <w:widowControl/>
        <w:spacing w:line="400" w:lineRule="exact"/>
        <w:rPr>
          <w:rFonts w:ascii="宋体" w:hAnsi="宋体"/>
          <w:color w:val="000000"/>
          <w:sz w:val="24"/>
          <w:szCs w:val="24"/>
        </w:rPr>
      </w:pPr>
      <w:r w:rsidRPr="0001344E">
        <w:rPr>
          <w:rFonts w:ascii="宋体" w:hAnsi="宋体" w:hint="eastAsia"/>
          <w:color w:val="000000"/>
          <w:sz w:val="24"/>
          <w:szCs w:val="24"/>
        </w:rPr>
        <w:t>邓老师：18819285882</w:t>
      </w:r>
    </w:p>
    <w:p w:rsidR="00A32964" w:rsidRPr="0001344E" w:rsidRDefault="00A32964" w:rsidP="00A32964">
      <w:pPr>
        <w:widowControl/>
        <w:ind w:firstLineChars="200" w:firstLine="480"/>
        <w:jc w:val="left"/>
        <w:rPr>
          <w:rFonts w:ascii="楷体" w:eastAsia="楷体" w:hAnsi="楷体"/>
          <w:color w:val="000000"/>
          <w:sz w:val="24"/>
        </w:rPr>
      </w:pPr>
    </w:p>
    <w:p w:rsidR="00A32964" w:rsidRPr="0001344E" w:rsidRDefault="00A32964" w:rsidP="00A32964">
      <w:pPr>
        <w:widowControl/>
        <w:jc w:val="left"/>
        <w:rPr>
          <w:rFonts w:ascii="楷体" w:eastAsia="楷体" w:hAnsi="楷体"/>
          <w:b/>
          <w:color w:val="000000"/>
          <w:sz w:val="32"/>
          <w:szCs w:val="28"/>
        </w:rPr>
      </w:pPr>
      <w:r w:rsidRPr="0001344E">
        <w:rPr>
          <w:rFonts w:ascii="楷体" w:eastAsia="楷体" w:hAnsi="楷体" w:hint="eastAsia"/>
          <w:b/>
          <w:color w:val="000000"/>
          <w:sz w:val="32"/>
          <w:szCs w:val="28"/>
        </w:rPr>
        <w:t>交通指南</w:t>
      </w:r>
    </w:p>
    <w:p w:rsidR="00A32964" w:rsidRPr="00BB095C" w:rsidRDefault="00A32964" w:rsidP="00A32964">
      <w:pPr>
        <w:numPr>
          <w:ilvl w:val="0"/>
          <w:numId w:val="2"/>
        </w:numPr>
        <w:rPr>
          <w:rFonts w:ascii="宋体" w:hAnsi="宋体"/>
          <w:sz w:val="24"/>
          <w:szCs w:val="24"/>
        </w:rPr>
      </w:pPr>
      <w:r w:rsidRPr="00BB095C">
        <w:rPr>
          <w:rFonts w:ascii="楷体" w:eastAsia="楷体" w:hAnsi="楷体" w:hint="eastAsia"/>
          <w:b/>
          <w:color w:val="000000"/>
          <w:sz w:val="28"/>
        </w:rPr>
        <w:lastRenderedPageBreak/>
        <w:t>自驾指引：</w:t>
      </w:r>
      <w:r w:rsidRPr="00BB095C">
        <w:rPr>
          <w:rFonts w:ascii="宋体" w:hAnsi="宋体" w:hint="eastAsia"/>
          <w:sz w:val="24"/>
          <w:szCs w:val="24"/>
        </w:rPr>
        <w:t>广州市</w:t>
      </w:r>
      <w:proofErr w:type="gramStart"/>
      <w:r w:rsidRPr="00BB095C">
        <w:rPr>
          <w:rFonts w:ascii="宋体" w:hAnsi="宋体" w:hint="eastAsia"/>
          <w:sz w:val="24"/>
          <w:szCs w:val="24"/>
        </w:rPr>
        <w:t>越秀寺右一</w:t>
      </w:r>
      <w:proofErr w:type="gramEnd"/>
      <w:r w:rsidRPr="00BB095C">
        <w:rPr>
          <w:rFonts w:ascii="宋体" w:hAnsi="宋体" w:hint="eastAsia"/>
          <w:sz w:val="24"/>
          <w:szCs w:val="24"/>
        </w:rPr>
        <w:t>马路2号珠江宾馆</w:t>
      </w:r>
    </w:p>
    <w:p w:rsidR="00A32964" w:rsidRPr="00CF59EC" w:rsidRDefault="00A32964" w:rsidP="00A32964">
      <w:pPr>
        <w:widowControl/>
        <w:ind w:left="360"/>
        <w:jc w:val="left"/>
      </w:pPr>
    </w:p>
    <w:p w:rsidR="00A32964" w:rsidRPr="00BB095C" w:rsidRDefault="00A32964" w:rsidP="00A32964">
      <w:pPr>
        <w:numPr>
          <w:ilvl w:val="0"/>
          <w:numId w:val="2"/>
        </w:numPr>
        <w:rPr>
          <w:rFonts w:ascii="楷体" w:eastAsia="楷体" w:hAnsi="楷体"/>
          <w:b/>
          <w:color w:val="000000"/>
          <w:sz w:val="28"/>
        </w:rPr>
      </w:pPr>
      <w:r w:rsidRPr="00BB095C">
        <w:rPr>
          <w:rFonts w:ascii="楷体" w:eastAsia="楷体" w:hAnsi="楷体" w:hint="eastAsia"/>
          <w:b/>
          <w:color w:val="000000"/>
          <w:sz w:val="28"/>
        </w:rPr>
        <w:t>公共交通指引</w:t>
      </w:r>
    </w:p>
    <w:p w:rsidR="00A32964" w:rsidRPr="00BB095C" w:rsidRDefault="00A32964" w:rsidP="00A32964">
      <w:pPr>
        <w:widowControl/>
        <w:numPr>
          <w:ilvl w:val="0"/>
          <w:numId w:val="4"/>
        </w:numPr>
        <w:spacing w:line="400" w:lineRule="exact"/>
        <w:ind w:left="357"/>
        <w:rPr>
          <w:rFonts w:ascii="楷体" w:eastAsia="楷体" w:hAnsi="楷体"/>
          <w:color w:val="000000"/>
          <w:sz w:val="28"/>
        </w:rPr>
      </w:pPr>
      <w:r w:rsidRPr="00BB095C">
        <w:rPr>
          <w:rFonts w:ascii="楷体" w:eastAsia="楷体" w:hAnsi="楷体" w:hint="eastAsia"/>
          <w:b/>
          <w:color w:val="000000"/>
          <w:sz w:val="28"/>
          <w:u w:val="single"/>
        </w:rPr>
        <w:t>公交</w:t>
      </w:r>
      <w:r w:rsidRPr="00BB095C">
        <w:rPr>
          <w:rFonts w:ascii="楷体" w:eastAsia="楷体" w:hAnsi="楷体" w:hint="eastAsia"/>
          <w:color w:val="000000"/>
          <w:sz w:val="28"/>
        </w:rPr>
        <w:t>：</w:t>
      </w:r>
      <w:r w:rsidRPr="00BB095C">
        <w:rPr>
          <w:rFonts w:ascii="宋体" w:hAnsi="宋体" w:hint="eastAsia"/>
          <w:sz w:val="24"/>
          <w:szCs w:val="24"/>
        </w:rPr>
        <w:t>五羊新村站：37路、51A路、51路、53路、89路、122A路、122路、125路云台花园节假日班车、130路、189路、194路、195路、197路、204路、225路、230路、252路、263路、266路、301A路、303A路、303路、305路。</w:t>
      </w:r>
    </w:p>
    <w:p w:rsidR="00A32964" w:rsidRPr="00BB095C" w:rsidRDefault="00A32964" w:rsidP="00A32964">
      <w:pPr>
        <w:widowControl/>
        <w:ind w:left="357"/>
        <w:jc w:val="left"/>
        <w:rPr>
          <w:rFonts w:ascii="楷体" w:eastAsia="楷体" w:hAnsi="楷体"/>
          <w:color w:val="000000"/>
          <w:sz w:val="28"/>
        </w:rPr>
      </w:pPr>
    </w:p>
    <w:p w:rsidR="00A32964" w:rsidRPr="00BB095C" w:rsidRDefault="00A32964" w:rsidP="00A32964">
      <w:pPr>
        <w:widowControl/>
        <w:numPr>
          <w:ilvl w:val="0"/>
          <w:numId w:val="4"/>
        </w:numPr>
        <w:spacing w:line="400" w:lineRule="exact"/>
        <w:ind w:left="357"/>
        <w:rPr>
          <w:rFonts w:ascii="楷体" w:eastAsia="楷体" w:hAnsi="楷体"/>
          <w:color w:val="000000"/>
          <w:sz w:val="28"/>
        </w:rPr>
      </w:pPr>
      <w:r w:rsidRPr="00BB095C">
        <w:rPr>
          <w:rFonts w:ascii="楷体" w:eastAsia="楷体" w:hAnsi="楷体" w:hint="eastAsia"/>
          <w:b/>
          <w:color w:val="000000"/>
          <w:sz w:val="28"/>
          <w:u w:val="single"/>
        </w:rPr>
        <w:t>地铁</w:t>
      </w:r>
      <w:r w:rsidRPr="00BB095C">
        <w:rPr>
          <w:rFonts w:ascii="楷体" w:eastAsia="楷体" w:hAnsi="楷体" w:hint="eastAsia"/>
          <w:color w:val="000000"/>
          <w:sz w:val="28"/>
        </w:rPr>
        <w:t>：</w:t>
      </w:r>
      <w:r w:rsidRPr="00BB095C">
        <w:rPr>
          <w:rFonts w:ascii="宋体" w:hAnsi="宋体" w:hint="eastAsia"/>
          <w:sz w:val="24"/>
          <w:szCs w:val="24"/>
        </w:rPr>
        <w:t>地铁五号线五羊邨站A口，步行</w:t>
      </w:r>
      <w:r w:rsidRPr="00BB095C">
        <w:rPr>
          <w:rFonts w:ascii="宋体" w:hAnsi="宋体"/>
          <w:sz w:val="24"/>
          <w:szCs w:val="24"/>
        </w:rPr>
        <w:t>1.0公里至</w:t>
      </w:r>
      <w:r w:rsidRPr="00BB095C">
        <w:rPr>
          <w:rFonts w:ascii="宋体" w:hAnsi="宋体" w:hint="eastAsia"/>
          <w:sz w:val="24"/>
          <w:szCs w:val="24"/>
        </w:rPr>
        <w:t>珠江宾馆（约15分钟）。</w:t>
      </w:r>
    </w:p>
    <w:p w:rsidR="00A32964" w:rsidRPr="00CF59EC" w:rsidRDefault="00A32964" w:rsidP="00A32964">
      <w:pPr>
        <w:widowControl/>
        <w:ind w:left="357"/>
        <w:jc w:val="left"/>
        <w:rPr>
          <w:shd w:val="clear" w:color="auto" w:fill="FFFF00"/>
        </w:rPr>
      </w:pPr>
    </w:p>
    <w:p w:rsidR="00A32964" w:rsidRPr="00CF59EC" w:rsidRDefault="00A32964" w:rsidP="00A32964">
      <w:pPr>
        <w:jc w:val="center"/>
        <w:rPr>
          <w:shd w:val="clear" w:color="auto" w:fill="FFFF00"/>
        </w:rPr>
      </w:pPr>
      <w:r>
        <w:rPr>
          <w:noProof/>
          <w:shd w:val="clear" w:color="auto" w:fill="FFFF00"/>
        </w:rPr>
        <w:drawing>
          <wp:inline distT="0" distB="0" distL="0" distR="0">
            <wp:extent cx="4761230" cy="2974975"/>
            <wp:effectExtent l="0" t="0" r="1270" b="0"/>
            <wp:docPr id="1" name="图片 1" descr="说明: 微信图片_2017041812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微信图片_201704181200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1230" cy="2974975"/>
                    </a:xfrm>
                    <a:prstGeom prst="rect">
                      <a:avLst/>
                    </a:prstGeom>
                    <a:noFill/>
                    <a:ln>
                      <a:noFill/>
                    </a:ln>
                  </pic:spPr>
                </pic:pic>
              </a:graphicData>
            </a:graphic>
          </wp:inline>
        </w:drawing>
      </w:r>
    </w:p>
    <w:p w:rsidR="00A32964" w:rsidRPr="00CF59EC" w:rsidRDefault="00A32964" w:rsidP="00A32964">
      <w:pPr>
        <w:widowControl/>
        <w:jc w:val="left"/>
        <w:rPr>
          <w:rFonts w:ascii="楷体" w:eastAsia="楷体" w:hAnsi="楷体"/>
          <w:b/>
          <w:color w:val="00B050"/>
          <w:sz w:val="28"/>
          <w:szCs w:val="28"/>
        </w:rPr>
      </w:pPr>
    </w:p>
    <w:p w:rsidR="00A32964" w:rsidRPr="0001344E" w:rsidRDefault="00A32964" w:rsidP="00A32964">
      <w:pPr>
        <w:widowControl/>
        <w:ind w:firstLine="1"/>
        <w:rPr>
          <w:rFonts w:ascii="楷体" w:eastAsia="楷体" w:hAnsi="楷体"/>
          <w:b/>
          <w:color w:val="000000"/>
          <w:sz w:val="32"/>
          <w:szCs w:val="28"/>
        </w:rPr>
      </w:pPr>
      <w:r w:rsidRPr="0001344E">
        <w:rPr>
          <w:rFonts w:ascii="楷体" w:eastAsia="楷体" w:hAnsi="楷体" w:hint="eastAsia"/>
          <w:b/>
          <w:color w:val="000000"/>
          <w:sz w:val="32"/>
          <w:szCs w:val="28"/>
        </w:rPr>
        <w:t>课程大纲及师资介绍</w:t>
      </w:r>
    </w:p>
    <w:p w:rsidR="00A32964" w:rsidRPr="00CF59EC" w:rsidRDefault="00A32964" w:rsidP="00A32964">
      <w:pPr>
        <w:numPr>
          <w:ilvl w:val="0"/>
          <w:numId w:val="3"/>
        </w:numPr>
        <w:rPr>
          <w:b/>
          <w:sz w:val="28"/>
          <w:szCs w:val="32"/>
        </w:rPr>
      </w:pPr>
      <w:r w:rsidRPr="00CF59EC">
        <w:rPr>
          <w:rFonts w:hint="eastAsia"/>
          <w:b/>
          <w:sz w:val="28"/>
          <w:szCs w:val="32"/>
        </w:rPr>
        <w:t>企业并购重组中的税法问题</w:t>
      </w:r>
    </w:p>
    <w:p w:rsidR="00A32964" w:rsidRPr="00CF59EC" w:rsidRDefault="00A32964" w:rsidP="00A32964">
      <w:pPr>
        <w:rPr>
          <w:b/>
          <w:sz w:val="24"/>
          <w:szCs w:val="28"/>
        </w:rPr>
      </w:pPr>
      <w:r w:rsidRPr="00CF59EC">
        <w:rPr>
          <w:rFonts w:hint="eastAsia"/>
          <w:b/>
          <w:sz w:val="24"/>
          <w:szCs w:val="28"/>
        </w:rPr>
        <w:t>【课程简介】</w:t>
      </w:r>
    </w:p>
    <w:p w:rsidR="00A32964" w:rsidRPr="00BB095C" w:rsidRDefault="00A32964" w:rsidP="00A32964">
      <w:pPr>
        <w:spacing w:line="400" w:lineRule="exact"/>
        <w:ind w:firstLineChars="200" w:firstLine="480"/>
        <w:rPr>
          <w:rFonts w:ascii="宋体" w:hAnsi="宋体"/>
          <w:color w:val="000000"/>
          <w:sz w:val="24"/>
          <w:szCs w:val="24"/>
        </w:rPr>
      </w:pPr>
      <w:r w:rsidRPr="00BB095C">
        <w:rPr>
          <w:rFonts w:ascii="宋体" w:hAnsi="宋体" w:hint="eastAsia"/>
          <w:color w:val="000000"/>
          <w:sz w:val="24"/>
          <w:szCs w:val="24"/>
        </w:rPr>
        <w:t>经济新常态下，随着混合所有制改革和资本市场改革的推进，企业的并购重组活动将日趋活跃，兼并、收购已成为企业创造持续竞争优势略的一个重要战略措施。然而，许多本应发生的并购并未成功实现，其中的高额税负是一个重要原因。如何制定最优的并购方案以最大程度降低税负？本课程将对此做出回答。</w:t>
      </w:r>
    </w:p>
    <w:p w:rsidR="00A32964" w:rsidRPr="00CF59EC" w:rsidRDefault="00A32964" w:rsidP="00A32964">
      <w:pPr>
        <w:ind w:firstLineChars="200" w:firstLine="440"/>
        <w:rPr>
          <w:sz w:val="22"/>
        </w:rPr>
      </w:pPr>
    </w:p>
    <w:p w:rsidR="00A32964" w:rsidRPr="00CF59EC" w:rsidRDefault="00A32964" w:rsidP="00A32964">
      <w:pPr>
        <w:rPr>
          <w:b/>
          <w:sz w:val="24"/>
          <w:szCs w:val="28"/>
        </w:rPr>
      </w:pPr>
      <w:r w:rsidRPr="00CF59EC">
        <w:rPr>
          <w:rFonts w:hint="eastAsia"/>
          <w:b/>
          <w:sz w:val="24"/>
          <w:szCs w:val="28"/>
        </w:rPr>
        <w:t>【课程模块】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5780"/>
      </w:tblGrid>
      <w:tr w:rsidR="00A32964" w:rsidRPr="00CF59EC" w:rsidTr="0001344E">
        <w:trPr>
          <w:trHeight w:val="625"/>
        </w:trPr>
        <w:tc>
          <w:tcPr>
            <w:tcW w:w="16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2964" w:rsidRPr="006A26C0" w:rsidRDefault="00A32964" w:rsidP="0001344E">
            <w:pPr>
              <w:spacing w:line="400" w:lineRule="exact"/>
              <w:jc w:val="center"/>
              <w:rPr>
                <w:rFonts w:ascii="宋体" w:hAnsi="宋体"/>
                <w:b/>
                <w:color w:val="000000"/>
                <w:sz w:val="24"/>
                <w:szCs w:val="24"/>
              </w:rPr>
            </w:pPr>
            <w:r w:rsidRPr="006A26C0">
              <w:rPr>
                <w:rFonts w:ascii="宋体" w:hAnsi="宋体" w:hint="eastAsia"/>
                <w:b/>
                <w:color w:val="000000"/>
                <w:sz w:val="24"/>
                <w:szCs w:val="24"/>
              </w:rPr>
              <w:lastRenderedPageBreak/>
              <w:t>课程模块</w:t>
            </w:r>
          </w:p>
        </w:tc>
        <w:tc>
          <w:tcPr>
            <w:tcW w:w="3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2964" w:rsidRPr="006A26C0" w:rsidRDefault="00A32964" w:rsidP="0001344E">
            <w:pPr>
              <w:spacing w:line="400" w:lineRule="exact"/>
              <w:jc w:val="center"/>
              <w:rPr>
                <w:rFonts w:ascii="宋体" w:hAnsi="宋体"/>
                <w:b/>
                <w:color w:val="000000"/>
                <w:sz w:val="24"/>
                <w:szCs w:val="24"/>
              </w:rPr>
            </w:pPr>
            <w:r w:rsidRPr="006A26C0">
              <w:rPr>
                <w:rFonts w:ascii="宋体" w:hAnsi="宋体" w:hint="eastAsia"/>
                <w:b/>
                <w:color w:val="000000"/>
                <w:sz w:val="24"/>
                <w:szCs w:val="24"/>
              </w:rPr>
              <w:t>课程要点</w:t>
            </w:r>
          </w:p>
        </w:tc>
      </w:tr>
      <w:tr w:rsidR="00A32964" w:rsidRPr="00CF59EC" w:rsidTr="0001344E">
        <w:trPr>
          <w:trHeight w:val="625"/>
        </w:trPr>
        <w:tc>
          <w:tcPr>
            <w:tcW w:w="1609" w:type="pct"/>
            <w:vMerge w:val="restart"/>
            <w:tcBorders>
              <w:top w:val="single" w:sz="4" w:space="0" w:color="auto"/>
              <w:left w:val="single" w:sz="4" w:space="0" w:color="auto"/>
              <w:right w:val="single" w:sz="4" w:space="0" w:color="auto"/>
            </w:tcBorders>
            <w:shd w:val="clear" w:color="auto" w:fill="auto"/>
            <w:vAlign w:val="center"/>
            <w:hideMark/>
          </w:tcPr>
          <w:p w:rsidR="00A32964" w:rsidRPr="006A26C0" w:rsidRDefault="00A32964" w:rsidP="0001344E">
            <w:pPr>
              <w:spacing w:line="400" w:lineRule="exact"/>
              <w:jc w:val="center"/>
              <w:rPr>
                <w:rFonts w:ascii="宋体" w:hAnsi="宋体"/>
                <w:color w:val="000000"/>
                <w:sz w:val="24"/>
                <w:szCs w:val="24"/>
              </w:rPr>
            </w:pPr>
            <w:r w:rsidRPr="006A26C0">
              <w:rPr>
                <w:rFonts w:ascii="宋体" w:hAnsi="宋体" w:hint="eastAsia"/>
                <w:color w:val="000000"/>
                <w:sz w:val="24"/>
                <w:szCs w:val="24"/>
              </w:rPr>
              <w:t>法规核心条款解读</w:t>
            </w:r>
          </w:p>
        </w:tc>
        <w:tc>
          <w:tcPr>
            <w:tcW w:w="3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2964" w:rsidRPr="006A26C0" w:rsidRDefault="00A32964" w:rsidP="0001344E">
            <w:pPr>
              <w:spacing w:line="400" w:lineRule="exact"/>
              <w:rPr>
                <w:rFonts w:ascii="宋体" w:hAnsi="宋体"/>
                <w:color w:val="000000"/>
                <w:sz w:val="24"/>
                <w:szCs w:val="24"/>
              </w:rPr>
            </w:pPr>
            <w:r w:rsidRPr="006A26C0">
              <w:rPr>
                <w:rFonts w:ascii="宋体" w:hAnsi="宋体" w:hint="eastAsia"/>
                <w:color w:val="000000"/>
                <w:sz w:val="24"/>
                <w:szCs w:val="24"/>
              </w:rPr>
              <w:t>免税重组与应税重组的核心区别是什么？</w:t>
            </w:r>
          </w:p>
        </w:tc>
      </w:tr>
      <w:tr w:rsidR="00A32964" w:rsidRPr="00CF59EC" w:rsidTr="0001344E">
        <w:trPr>
          <w:trHeight w:val="145"/>
        </w:trPr>
        <w:tc>
          <w:tcPr>
            <w:tcW w:w="1609" w:type="pct"/>
            <w:vMerge/>
            <w:tcBorders>
              <w:left w:val="single" w:sz="4" w:space="0" w:color="auto"/>
              <w:bottom w:val="single" w:sz="4" w:space="0" w:color="auto"/>
              <w:right w:val="single" w:sz="4" w:space="0" w:color="auto"/>
            </w:tcBorders>
            <w:shd w:val="clear" w:color="auto" w:fill="auto"/>
            <w:vAlign w:val="center"/>
            <w:hideMark/>
          </w:tcPr>
          <w:p w:rsidR="00A32964" w:rsidRPr="006A26C0" w:rsidRDefault="00A32964" w:rsidP="0001344E">
            <w:pPr>
              <w:spacing w:line="400" w:lineRule="exact"/>
              <w:rPr>
                <w:rFonts w:ascii="宋体" w:hAnsi="宋体"/>
                <w:color w:val="000000"/>
                <w:sz w:val="24"/>
                <w:szCs w:val="24"/>
              </w:rPr>
            </w:pPr>
          </w:p>
        </w:tc>
        <w:tc>
          <w:tcPr>
            <w:tcW w:w="3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2964" w:rsidRPr="006A26C0" w:rsidRDefault="00A32964" w:rsidP="0001344E">
            <w:pPr>
              <w:spacing w:line="400" w:lineRule="exact"/>
              <w:rPr>
                <w:rFonts w:ascii="宋体" w:hAnsi="宋体"/>
                <w:color w:val="000000"/>
                <w:sz w:val="24"/>
                <w:szCs w:val="24"/>
              </w:rPr>
            </w:pPr>
            <w:r w:rsidRPr="006A26C0">
              <w:rPr>
                <w:rFonts w:ascii="宋体" w:hAnsi="宋体" w:hint="eastAsia"/>
                <w:color w:val="000000"/>
                <w:sz w:val="24"/>
                <w:szCs w:val="24"/>
              </w:rPr>
              <w:t>如何选择税务最优的并购方式？</w:t>
            </w:r>
          </w:p>
          <w:p w:rsidR="00A32964" w:rsidRPr="006A26C0" w:rsidRDefault="00A32964" w:rsidP="0001344E">
            <w:pPr>
              <w:spacing w:line="400" w:lineRule="exact"/>
              <w:rPr>
                <w:rFonts w:ascii="宋体" w:hAnsi="宋体"/>
                <w:color w:val="000000"/>
                <w:sz w:val="24"/>
                <w:szCs w:val="24"/>
              </w:rPr>
            </w:pPr>
            <w:r w:rsidRPr="006A26C0">
              <w:rPr>
                <w:rFonts w:ascii="宋体" w:hAnsi="宋体" w:hint="eastAsia"/>
                <w:color w:val="000000"/>
                <w:sz w:val="24"/>
                <w:szCs w:val="24"/>
              </w:rPr>
              <w:t>并购主体、并购对象与支付方式比较</w:t>
            </w:r>
          </w:p>
        </w:tc>
      </w:tr>
      <w:tr w:rsidR="00A32964" w:rsidRPr="00CF59EC" w:rsidTr="0001344E">
        <w:trPr>
          <w:trHeight w:val="1249"/>
        </w:trPr>
        <w:tc>
          <w:tcPr>
            <w:tcW w:w="1609" w:type="pct"/>
            <w:vMerge w:val="restart"/>
            <w:tcBorders>
              <w:top w:val="single" w:sz="4" w:space="0" w:color="auto"/>
              <w:left w:val="single" w:sz="4" w:space="0" w:color="auto"/>
              <w:right w:val="single" w:sz="4" w:space="0" w:color="auto"/>
            </w:tcBorders>
            <w:shd w:val="clear" w:color="auto" w:fill="auto"/>
            <w:vAlign w:val="center"/>
            <w:hideMark/>
          </w:tcPr>
          <w:p w:rsidR="00A32964" w:rsidRPr="006A26C0" w:rsidRDefault="00A32964" w:rsidP="0001344E">
            <w:pPr>
              <w:spacing w:line="400" w:lineRule="exact"/>
              <w:jc w:val="center"/>
              <w:rPr>
                <w:rFonts w:ascii="宋体" w:hAnsi="宋体"/>
                <w:color w:val="000000"/>
                <w:sz w:val="24"/>
                <w:szCs w:val="24"/>
              </w:rPr>
            </w:pPr>
            <w:r w:rsidRPr="006A26C0">
              <w:rPr>
                <w:rFonts w:ascii="宋体" w:hAnsi="宋体" w:hint="eastAsia"/>
                <w:color w:val="000000"/>
                <w:sz w:val="24"/>
                <w:szCs w:val="24"/>
              </w:rPr>
              <w:t>应用场景</w:t>
            </w:r>
          </w:p>
        </w:tc>
        <w:tc>
          <w:tcPr>
            <w:tcW w:w="3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2964" w:rsidRPr="006A26C0" w:rsidRDefault="00A32964" w:rsidP="0001344E">
            <w:pPr>
              <w:spacing w:line="400" w:lineRule="exact"/>
              <w:rPr>
                <w:rFonts w:ascii="宋体" w:hAnsi="宋体"/>
                <w:color w:val="000000"/>
                <w:sz w:val="24"/>
                <w:szCs w:val="24"/>
              </w:rPr>
            </w:pPr>
            <w:r w:rsidRPr="006A26C0">
              <w:rPr>
                <w:rFonts w:ascii="宋体" w:hAnsi="宋体" w:hint="eastAsia"/>
                <w:color w:val="000000"/>
                <w:sz w:val="24"/>
                <w:szCs w:val="24"/>
              </w:rPr>
              <w:t>拟上市公司如何选择最优的并购方式？</w:t>
            </w:r>
          </w:p>
          <w:p w:rsidR="00A32964" w:rsidRPr="006A26C0" w:rsidRDefault="00A32964" w:rsidP="0001344E">
            <w:pPr>
              <w:spacing w:line="400" w:lineRule="exact"/>
              <w:rPr>
                <w:rFonts w:ascii="宋体" w:hAnsi="宋体"/>
                <w:color w:val="000000"/>
                <w:sz w:val="24"/>
                <w:szCs w:val="24"/>
              </w:rPr>
            </w:pPr>
            <w:r w:rsidRPr="006A26C0">
              <w:rPr>
                <w:rFonts w:ascii="宋体" w:hAnsi="宋体" w:hint="eastAsia"/>
                <w:color w:val="000000"/>
                <w:sz w:val="24"/>
                <w:szCs w:val="24"/>
              </w:rPr>
              <w:t>股权激励、资产整合与剥离方式比较</w:t>
            </w:r>
          </w:p>
        </w:tc>
      </w:tr>
      <w:tr w:rsidR="00A32964" w:rsidRPr="00CF59EC" w:rsidTr="0001344E">
        <w:trPr>
          <w:trHeight w:val="145"/>
        </w:trPr>
        <w:tc>
          <w:tcPr>
            <w:tcW w:w="1609" w:type="pct"/>
            <w:vMerge/>
            <w:tcBorders>
              <w:left w:val="single" w:sz="4" w:space="0" w:color="auto"/>
              <w:right w:val="single" w:sz="4" w:space="0" w:color="auto"/>
            </w:tcBorders>
            <w:shd w:val="clear" w:color="auto" w:fill="auto"/>
            <w:vAlign w:val="center"/>
            <w:hideMark/>
          </w:tcPr>
          <w:p w:rsidR="00A32964" w:rsidRPr="006A26C0" w:rsidRDefault="00A32964" w:rsidP="0001344E">
            <w:pPr>
              <w:spacing w:line="400" w:lineRule="exact"/>
              <w:jc w:val="center"/>
              <w:rPr>
                <w:rFonts w:ascii="宋体" w:hAnsi="宋体"/>
                <w:color w:val="000000"/>
                <w:sz w:val="24"/>
                <w:szCs w:val="24"/>
              </w:rPr>
            </w:pPr>
          </w:p>
        </w:tc>
        <w:tc>
          <w:tcPr>
            <w:tcW w:w="3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2964" w:rsidRPr="006A26C0" w:rsidRDefault="00A32964" w:rsidP="0001344E">
            <w:pPr>
              <w:spacing w:line="400" w:lineRule="exact"/>
              <w:rPr>
                <w:rFonts w:ascii="宋体" w:hAnsi="宋体"/>
                <w:color w:val="000000"/>
                <w:sz w:val="24"/>
                <w:szCs w:val="24"/>
              </w:rPr>
            </w:pPr>
            <w:r w:rsidRPr="006A26C0">
              <w:rPr>
                <w:rFonts w:ascii="宋体" w:hAnsi="宋体" w:hint="eastAsia"/>
                <w:color w:val="000000"/>
                <w:sz w:val="24"/>
                <w:szCs w:val="24"/>
              </w:rPr>
              <w:t>上市后如何</w:t>
            </w:r>
            <w:proofErr w:type="gramStart"/>
            <w:r w:rsidRPr="006A26C0">
              <w:rPr>
                <w:rFonts w:ascii="宋体" w:hAnsi="宋体" w:hint="eastAsia"/>
                <w:color w:val="000000"/>
                <w:sz w:val="24"/>
                <w:szCs w:val="24"/>
              </w:rPr>
              <w:t>定选择</w:t>
            </w:r>
            <w:proofErr w:type="gramEnd"/>
            <w:r w:rsidRPr="006A26C0">
              <w:rPr>
                <w:rFonts w:ascii="宋体" w:hAnsi="宋体" w:hint="eastAsia"/>
                <w:color w:val="000000"/>
                <w:sz w:val="24"/>
                <w:szCs w:val="24"/>
              </w:rPr>
              <w:t>税务最优</w:t>
            </w:r>
            <w:proofErr w:type="gramStart"/>
            <w:r w:rsidRPr="006A26C0">
              <w:rPr>
                <w:rFonts w:ascii="宋体" w:hAnsi="宋体" w:hint="eastAsia"/>
                <w:color w:val="000000"/>
                <w:sz w:val="24"/>
                <w:szCs w:val="24"/>
              </w:rPr>
              <w:t>的定增方式</w:t>
            </w:r>
            <w:proofErr w:type="gramEnd"/>
            <w:r w:rsidRPr="006A26C0">
              <w:rPr>
                <w:rFonts w:ascii="宋体" w:hAnsi="宋体" w:hint="eastAsia"/>
                <w:color w:val="000000"/>
                <w:sz w:val="24"/>
                <w:szCs w:val="24"/>
              </w:rPr>
              <w:t>？</w:t>
            </w:r>
          </w:p>
        </w:tc>
      </w:tr>
      <w:tr w:rsidR="00A32964" w:rsidRPr="00CF59EC" w:rsidTr="0001344E">
        <w:trPr>
          <w:trHeight w:val="145"/>
        </w:trPr>
        <w:tc>
          <w:tcPr>
            <w:tcW w:w="1609" w:type="pct"/>
            <w:tcBorders>
              <w:left w:val="single" w:sz="4" w:space="0" w:color="auto"/>
              <w:bottom w:val="single" w:sz="4" w:space="0" w:color="auto"/>
              <w:right w:val="single" w:sz="4" w:space="0" w:color="auto"/>
            </w:tcBorders>
            <w:shd w:val="clear" w:color="auto" w:fill="auto"/>
            <w:vAlign w:val="center"/>
          </w:tcPr>
          <w:p w:rsidR="00A32964" w:rsidRPr="006A26C0" w:rsidRDefault="00A32964" w:rsidP="0001344E">
            <w:pPr>
              <w:spacing w:line="400" w:lineRule="exact"/>
              <w:jc w:val="center"/>
              <w:rPr>
                <w:rFonts w:ascii="宋体" w:hAnsi="宋体"/>
                <w:color w:val="000000"/>
                <w:sz w:val="24"/>
                <w:szCs w:val="24"/>
              </w:rPr>
            </w:pPr>
            <w:r w:rsidRPr="006A26C0">
              <w:rPr>
                <w:rFonts w:ascii="宋体" w:hAnsi="宋体" w:hint="eastAsia"/>
                <w:color w:val="000000"/>
                <w:sz w:val="24"/>
                <w:szCs w:val="24"/>
              </w:rPr>
              <w:t>相关法律</w:t>
            </w:r>
          </w:p>
        </w:tc>
        <w:tc>
          <w:tcPr>
            <w:tcW w:w="3391" w:type="pct"/>
            <w:tcBorders>
              <w:top w:val="single" w:sz="4" w:space="0" w:color="auto"/>
              <w:left w:val="single" w:sz="4" w:space="0" w:color="auto"/>
              <w:bottom w:val="single" w:sz="4" w:space="0" w:color="auto"/>
              <w:right w:val="single" w:sz="4" w:space="0" w:color="auto"/>
            </w:tcBorders>
            <w:shd w:val="clear" w:color="auto" w:fill="auto"/>
            <w:vAlign w:val="center"/>
          </w:tcPr>
          <w:p w:rsidR="00A32964" w:rsidRPr="006A26C0" w:rsidRDefault="00A32964" w:rsidP="0001344E">
            <w:pPr>
              <w:spacing w:line="400" w:lineRule="exact"/>
              <w:rPr>
                <w:rFonts w:ascii="宋体" w:hAnsi="宋体"/>
                <w:color w:val="000000"/>
                <w:sz w:val="24"/>
                <w:szCs w:val="24"/>
              </w:rPr>
            </w:pPr>
            <w:r w:rsidRPr="006A26C0">
              <w:rPr>
                <w:rFonts w:ascii="宋体" w:hAnsi="宋体" w:hint="eastAsia"/>
                <w:color w:val="000000"/>
                <w:sz w:val="24"/>
                <w:szCs w:val="24"/>
              </w:rPr>
              <w:t>税收征管法</w:t>
            </w:r>
          </w:p>
          <w:p w:rsidR="00A32964" w:rsidRPr="006A26C0" w:rsidRDefault="00A32964" w:rsidP="0001344E">
            <w:pPr>
              <w:spacing w:line="400" w:lineRule="exact"/>
              <w:rPr>
                <w:rFonts w:ascii="宋体" w:hAnsi="宋体"/>
                <w:color w:val="000000"/>
                <w:sz w:val="24"/>
                <w:szCs w:val="24"/>
              </w:rPr>
            </w:pPr>
            <w:r w:rsidRPr="006A26C0">
              <w:rPr>
                <w:rFonts w:ascii="宋体" w:hAnsi="宋体" w:hint="eastAsia"/>
                <w:color w:val="000000"/>
                <w:sz w:val="24"/>
                <w:szCs w:val="24"/>
              </w:rPr>
              <w:t>刑法中的涉税犯罪</w:t>
            </w:r>
          </w:p>
        </w:tc>
      </w:tr>
    </w:tbl>
    <w:p w:rsidR="00A32964" w:rsidRPr="00CF59EC" w:rsidRDefault="00A32964" w:rsidP="00A32964">
      <w:pPr>
        <w:rPr>
          <w:b/>
          <w:sz w:val="24"/>
          <w:szCs w:val="28"/>
        </w:rPr>
      </w:pPr>
    </w:p>
    <w:p w:rsidR="00A32964" w:rsidRPr="00CF59EC" w:rsidRDefault="00A32964" w:rsidP="00A32964">
      <w:pPr>
        <w:rPr>
          <w:b/>
          <w:sz w:val="24"/>
          <w:szCs w:val="28"/>
        </w:rPr>
      </w:pPr>
      <w:r w:rsidRPr="00CF59EC">
        <w:rPr>
          <w:rFonts w:hint="eastAsia"/>
          <w:b/>
          <w:sz w:val="24"/>
          <w:szCs w:val="28"/>
        </w:rPr>
        <w:t>【课程要点】</w:t>
      </w:r>
    </w:p>
    <w:p w:rsidR="00A32964" w:rsidRPr="00BB095C" w:rsidRDefault="00A32964" w:rsidP="00A32964">
      <w:pPr>
        <w:rPr>
          <w:rFonts w:ascii="楷体" w:eastAsia="楷体" w:hAnsi="楷体"/>
          <w:b/>
          <w:color w:val="000000"/>
          <w:sz w:val="28"/>
        </w:rPr>
      </w:pPr>
      <w:r w:rsidRPr="00BB095C">
        <w:rPr>
          <w:rFonts w:ascii="楷体" w:eastAsia="楷体" w:hAnsi="楷体" w:hint="eastAsia"/>
          <w:b/>
          <w:color w:val="000000"/>
          <w:sz w:val="28"/>
        </w:rPr>
        <w:t>一、核心条款解读：</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t>(</w:t>
      </w:r>
      <w:proofErr w:type="gramStart"/>
      <w:r w:rsidRPr="00BB095C">
        <w:rPr>
          <w:rFonts w:ascii="宋体" w:hAnsi="宋体" w:hint="eastAsia"/>
          <w:color w:val="000000"/>
          <w:sz w:val="24"/>
          <w:szCs w:val="24"/>
        </w:rPr>
        <w:t>一</w:t>
      </w:r>
      <w:proofErr w:type="gramEnd"/>
      <w:r w:rsidRPr="00BB095C">
        <w:rPr>
          <w:rFonts w:ascii="宋体" w:hAnsi="宋体" w:hint="eastAsia"/>
          <w:color w:val="000000"/>
          <w:sz w:val="24"/>
          <w:szCs w:val="24"/>
        </w:rPr>
        <w:t>) 企业并购重组一般性税务处理规定</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t>(二) 企业并购重组特殊性税务处理</w:t>
      </w:r>
    </w:p>
    <w:p w:rsidR="00A32964" w:rsidRPr="00CF59EC" w:rsidRDefault="00A32964" w:rsidP="00A32964">
      <w:pPr>
        <w:rPr>
          <w:sz w:val="22"/>
        </w:rPr>
      </w:pPr>
    </w:p>
    <w:p w:rsidR="00A32964" w:rsidRPr="00BB095C" w:rsidRDefault="00A32964" w:rsidP="00A32964">
      <w:pPr>
        <w:rPr>
          <w:rFonts w:ascii="楷体" w:eastAsia="楷体" w:hAnsi="楷体"/>
          <w:b/>
          <w:color w:val="000000"/>
          <w:sz w:val="28"/>
        </w:rPr>
      </w:pPr>
      <w:r w:rsidRPr="00BB095C">
        <w:rPr>
          <w:rFonts w:ascii="楷体" w:eastAsia="楷体" w:hAnsi="楷体" w:hint="eastAsia"/>
          <w:b/>
          <w:color w:val="000000"/>
          <w:sz w:val="28"/>
        </w:rPr>
        <w:t>二、应用场景</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t>(</w:t>
      </w:r>
      <w:proofErr w:type="gramStart"/>
      <w:r w:rsidRPr="00BB095C">
        <w:rPr>
          <w:rFonts w:ascii="宋体" w:hAnsi="宋体" w:hint="eastAsia"/>
          <w:color w:val="000000"/>
          <w:sz w:val="24"/>
          <w:szCs w:val="24"/>
        </w:rPr>
        <w:t>一</w:t>
      </w:r>
      <w:proofErr w:type="gramEnd"/>
      <w:r w:rsidRPr="00BB095C">
        <w:rPr>
          <w:rFonts w:ascii="宋体" w:hAnsi="宋体" w:hint="eastAsia"/>
          <w:color w:val="000000"/>
          <w:sz w:val="24"/>
          <w:szCs w:val="24"/>
        </w:rPr>
        <w:t>) 新设公司组织架构的设置与税务规划</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t>(二) 投资者直接持股还是间接持股涉及的相关税务规划及应考虑的相关问题</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t>(三) 股权激励相关的个人所得税与企业所得税问题</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t>(四) 持股平台的设立应关注的重要税务事项</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t>(五) 如何灵活运用重组过程中涉及的股权支付与应关注的重点税务问题</w:t>
      </w:r>
    </w:p>
    <w:p w:rsidR="00A32964" w:rsidRPr="00BB095C" w:rsidRDefault="00A32964" w:rsidP="00A32964">
      <w:pPr>
        <w:spacing w:line="400" w:lineRule="exact"/>
        <w:rPr>
          <w:rFonts w:ascii="宋体" w:hAnsi="宋体"/>
          <w:color w:val="000000"/>
          <w:sz w:val="24"/>
          <w:szCs w:val="24"/>
        </w:rPr>
      </w:pPr>
    </w:p>
    <w:p w:rsidR="00A32964" w:rsidRPr="00CF59EC" w:rsidRDefault="00A32964" w:rsidP="00A32964">
      <w:pPr>
        <w:spacing w:line="400" w:lineRule="exact"/>
        <w:rPr>
          <w:b/>
          <w:sz w:val="24"/>
          <w:szCs w:val="28"/>
        </w:rPr>
      </w:pPr>
      <w:r w:rsidRPr="00CF59EC">
        <w:rPr>
          <w:rFonts w:hint="eastAsia"/>
          <w:b/>
          <w:sz w:val="24"/>
          <w:szCs w:val="28"/>
        </w:rPr>
        <w:t>【课程特点】</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t>【最前沿】囊括国际领先的并购重组的税务处理与实际操作方案。</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t>【最系统】把碎片化的并购重组税务法条系统化，用几条原则</w:t>
      </w:r>
      <w:proofErr w:type="gramStart"/>
      <w:r w:rsidRPr="00BB095C">
        <w:rPr>
          <w:rFonts w:ascii="宋体" w:hAnsi="宋体" w:hint="eastAsia"/>
          <w:color w:val="000000"/>
          <w:sz w:val="24"/>
          <w:szCs w:val="24"/>
        </w:rPr>
        <w:t>一</w:t>
      </w:r>
      <w:proofErr w:type="gramEnd"/>
      <w:r w:rsidRPr="00BB095C">
        <w:rPr>
          <w:rFonts w:ascii="宋体" w:hAnsi="宋体" w:hint="eastAsia"/>
          <w:color w:val="000000"/>
          <w:sz w:val="24"/>
          <w:szCs w:val="24"/>
        </w:rPr>
        <w:t>以贯之。</w:t>
      </w:r>
    </w:p>
    <w:p w:rsidR="00A32964" w:rsidRPr="00BB095C" w:rsidRDefault="00A32964" w:rsidP="00A32964">
      <w:pPr>
        <w:spacing w:line="400" w:lineRule="exact"/>
        <w:rPr>
          <w:rFonts w:ascii="楷体" w:eastAsia="楷体" w:hAnsi="楷体"/>
          <w:color w:val="000000"/>
          <w:sz w:val="28"/>
        </w:rPr>
      </w:pPr>
      <w:r w:rsidRPr="00BB095C">
        <w:rPr>
          <w:rFonts w:ascii="宋体" w:hAnsi="宋体" w:hint="eastAsia"/>
          <w:color w:val="000000"/>
          <w:sz w:val="24"/>
          <w:szCs w:val="24"/>
        </w:rPr>
        <w:t>【最实用】提供大量丰富的案例，包括可以即刻实施的税务优化方案。</w:t>
      </w:r>
    </w:p>
    <w:p w:rsidR="00A32964" w:rsidRPr="00CF59EC" w:rsidRDefault="00A32964" w:rsidP="00A32964">
      <w:pPr>
        <w:ind w:left="420"/>
        <w:rPr>
          <w:b/>
          <w:sz w:val="32"/>
          <w:szCs w:val="32"/>
        </w:rPr>
      </w:pPr>
    </w:p>
    <w:p w:rsidR="00A32964" w:rsidRPr="00CF59EC" w:rsidRDefault="00A32964" w:rsidP="00A32964">
      <w:pPr>
        <w:jc w:val="left"/>
        <w:rPr>
          <w:rFonts w:ascii="楷体" w:eastAsia="楷体" w:hAnsi="楷体"/>
          <w:b/>
          <w:sz w:val="28"/>
          <w:szCs w:val="28"/>
          <w:u w:val="single"/>
        </w:rPr>
      </w:pPr>
      <w:r w:rsidRPr="00CF59EC">
        <w:rPr>
          <w:rFonts w:hint="eastAsia"/>
          <w:b/>
          <w:sz w:val="24"/>
          <w:szCs w:val="28"/>
        </w:rPr>
        <w:t>【授课师资】</w:t>
      </w:r>
      <w:r w:rsidRPr="00CF59EC">
        <w:rPr>
          <w:rFonts w:ascii="楷体" w:eastAsia="楷体" w:hAnsi="楷体" w:hint="eastAsia"/>
          <w:b/>
          <w:sz w:val="28"/>
          <w:szCs w:val="28"/>
          <w:u w:val="single"/>
        </w:rPr>
        <w:t>宋小宁</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t>中山大学会计系博士副教授硕士生导师；全国注册会计师考试《税法》命题专家；香港城市大学访问教授在商学院讲授《中国税法》；中山大学税收与财税法研究</w:t>
      </w:r>
      <w:r w:rsidRPr="00BB095C">
        <w:rPr>
          <w:rFonts w:ascii="宋体" w:hAnsi="宋体" w:hint="eastAsia"/>
          <w:color w:val="000000"/>
          <w:sz w:val="24"/>
          <w:szCs w:val="24"/>
        </w:rPr>
        <w:lastRenderedPageBreak/>
        <w:t>中心副主任。</w:t>
      </w:r>
    </w:p>
    <w:p w:rsidR="00A32964" w:rsidRPr="00CF59EC" w:rsidRDefault="00A32964" w:rsidP="00A32964">
      <w:pPr>
        <w:rPr>
          <w:b/>
          <w:sz w:val="32"/>
          <w:szCs w:val="32"/>
        </w:rPr>
      </w:pPr>
    </w:p>
    <w:p w:rsidR="00A32964" w:rsidRPr="00CF59EC" w:rsidRDefault="00A32964" w:rsidP="00A32964">
      <w:pPr>
        <w:numPr>
          <w:ilvl w:val="0"/>
          <w:numId w:val="3"/>
        </w:numPr>
        <w:rPr>
          <w:b/>
          <w:sz w:val="28"/>
          <w:szCs w:val="32"/>
        </w:rPr>
      </w:pPr>
      <w:r w:rsidRPr="00CF59EC">
        <w:rPr>
          <w:rFonts w:hint="eastAsia"/>
          <w:b/>
          <w:sz w:val="28"/>
          <w:szCs w:val="32"/>
        </w:rPr>
        <w:t>一带</w:t>
      </w:r>
      <w:proofErr w:type="gramStart"/>
      <w:r w:rsidRPr="00CF59EC">
        <w:rPr>
          <w:rFonts w:hint="eastAsia"/>
          <w:b/>
          <w:sz w:val="28"/>
          <w:szCs w:val="32"/>
        </w:rPr>
        <w:t>一路国家</w:t>
      </w:r>
      <w:proofErr w:type="gramEnd"/>
      <w:r w:rsidRPr="00CF59EC">
        <w:rPr>
          <w:rFonts w:hint="eastAsia"/>
          <w:b/>
          <w:sz w:val="28"/>
          <w:szCs w:val="32"/>
        </w:rPr>
        <w:t>战略与企业转型升级</w:t>
      </w:r>
    </w:p>
    <w:p w:rsidR="00A32964" w:rsidRPr="00CF59EC" w:rsidRDefault="00A32964" w:rsidP="00A32964">
      <w:pPr>
        <w:rPr>
          <w:sz w:val="28"/>
          <w:szCs w:val="28"/>
        </w:rPr>
      </w:pPr>
      <w:r w:rsidRPr="00CF59EC">
        <w:rPr>
          <w:rFonts w:hint="eastAsia"/>
          <w:b/>
          <w:sz w:val="24"/>
          <w:szCs w:val="28"/>
        </w:rPr>
        <w:t>【讲授提纲】</w:t>
      </w:r>
    </w:p>
    <w:p w:rsidR="00A32964" w:rsidRPr="00CF59EC" w:rsidRDefault="00A32964" w:rsidP="00A32964">
      <w:pPr>
        <w:numPr>
          <w:ilvl w:val="0"/>
          <w:numId w:val="5"/>
        </w:numPr>
        <w:rPr>
          <w:b/>
          <w:sz w:val="24"/>
          <w:szCs w:val="32"/>
        </w:rPr>
      </w:pPr>
      <w:r w:rsidRPr="00CF59EC">
        <w:rPr>
          <w:rFonts w:hint="eastAsia"/>
          <w:b/>
          <w:sz w:val="24"/>
          <w:szCs w:val="32"/>
        </w:rPr>
        <w:t>一带</w:t>
      </w:r>
      <w:proofErr w:type="gramStart"/>
      <w:r w:rsidRPr="00CF59EC">
        <w:rPr>
          <w:rFonts w:hint="eastAsia"/>
          <w:b/>
          <w:sz w:val="24"/>
          <w:szCs w:val="32"/>
        </w:rPr>
        <w:t>一路国家</w:t>
      </w:r>
      <w:proofErr w:type="gramEnd"/>
      <w:r w:rsidRPr="00CF59EC">
        <w:rPr>
          <w:rFonts w:hint="eastAsia"/>
          <w:b/>
          <w:sz w:val="24"/>
          <w:szCs w:val="32"/>
        </w:rPr>
        <w:t>战略</w:t>
      </w:r>
    </w:p>
    <w:p w:rsidR="00A32964" w:rsidRPr="00CF59EC" w:rsidRDefault="00A32964" w:rsidP="00A32964">
      <w:pPr>
        <w:numPr>
          <w:ilvl w:val="0"/>
          <w:numId w:val="6"/>
        </w:numPr>
        <w:rPr>
          <w:b/>
          <w:sz w:val="24"/>
          <w:szCs w:val="32"/>
        </w:rPr>
      </w:pPr>
      <w:r w:rsidRPr="00CF59EC">
        <w:rPr>
          <w:rFonts w:hint="eastAsia"/>
          <w:b/>
          <w:sz w:val="24"/>
          <w:szCs w:val="32"/>
        </w:rPr>
        <w:t>工业文明以来的全球三大战略体系</w:t>
      </w:r>
    </w:p>
    <w:p w:rsidR="00A32964" w:rsidRPr="00CF59EC" w:rsidRDefault="00A32964" w:rsidP="00A32964">
      <w:pPr>
        <w:numPr>
          <w:ilvl w:val="0"/>
          <w:numId w:val="6"/>
        </w:numPr>
        <w:rPr>
          <w:b/>
          <w:sz w:val="24"/>
          <w:szCs w:val="32"/>
        </w:rPr>
      </w:pPr>
      <w:r w:rsidRPr="00CF59EC">
        <w:rPr>
          <w:rFonts w:hint="eastAsia"/>
          <w:b/>
          <w:bCs/>
          <w:sz w:val="24"/>
          <w:szCs w:val="32"/>
        </w:rPr>
        <w:t>粤港澳大湾区联通“路”和“带”</w:t>
      </w:r>
    </w:p>
    <w:p w:rsidR="00A32964" w:rsidRPr="00CF59EC" w:rsidRDefault="00A32964" w:rsidP="00A32964">
      <w:pPr>
        <w:numPr>
          <w:ilvl w:val="0"/>
          <w:numId w:val="6"/>
        </w:numPr>
        <w:rPr>
          <w:b/>
          <w:sz w:val="24"/>
          <w:szCs w:val="32"/>
        </w:rPr>
      </w:pPr>
      <w:r w:rsidRPr="00CF59EC">
        <w:rPr>
          <w:rFonts w:hint="eastAsia"/>
          <w:b/>
          <w:bCs/>
          <w:sz w:val="24"/>
          <w:szCs w:val="32"/>
        </w:rPr>
        <w:t>广东拥有的五大“先发优势”</w:t>
      </w:r>
    </w:p>
    <w:p w:rsidR="00A32964" w:rsidRPr="00CF59EC" w:rsidRDefault="00A32964" w:rsidP="00A32964">
      <w:pPr>
        <w:numPr>
          <w:ilvl w:val="0"/>
          <w:numId w:val="5"/>
        </w:numPr>
        <w:rPr>
          <w:b/>
          <w:bCs/>
          <w:szCs w:val="32"/>
        </w:rPr>
      </w:pPr>
      <w:r w:rsidRPr="00CF59EC">
        <w:rPr>
          <w:rFonts w:hint="eastAsia"/>
          <w:b/>
          <w:bCs/>
          <w:szCs w:val="32"/>
        </w:rPr>
        <w:t>产业转型升级及国外借鉴</w:t>
      </w:r>
    </w:p>
    <w:p w:rsidR="00A32964" w:rsidRPr="00CF59EC" w:rsidRDefault="00A32964" w:rsidP="00A32964">
      <w:pPr>
        <w:numPr>
          <w:ilvl w:val="0"/>
          <w:numId w:val="7"/>
        </w:numPr>
        <w:rPr>
          <w:b/>
          <w:bCs/>
          <w:szCs w:val="32"/>
        </w:rPr>
      </w:pPr>
      <w:r w:rsidRPr="00CF59EC">
        <w:rPr>
          <w:rFonts w:hint="eastAsia"/>
          <w:b/>
          <w:bCs/>
          <w:szCs w:val="32"/>
        </w:rPr>
        <w:t>产业转型升级的内涵</w:t>
      </w:r>
    </w:p>
    <w:p w:rsidR="00A32964" w:rsidRPr="00CF59EC" w:rsidRDefault="00A32964" w:rsidP="00A32964">
      <w:pPr>
        <w:numPr>
          <w:ilvl w:val="0"/>
          <w:numId w:val="7"/>
        </w:numPr>
        <w:rPr>
          <w:b/>
          <w:szCs w:val="32"/>
        </w:rPr>
      </w:pPr>
      <w:r w:rsidRPr="00CF59EC">
        <w:rPr>
          <w:rFonts w:hint="eastAsia"/>
          <w:b/>
          <w:bCs/>
          <w:szCs w:val="32"/>
        </w:rPr>
        <w:t>产业转型升级的影响因素</w:t>
      </w:r>
    </w:p>
    <w:p w:rsidR="00A32964" w:rsidRPr="00CF59EC" w:rsidRDefault="00A32964" w:rsidP="00A32964">
      <w:pPr>
        <w:numPr>
          <w:ilvl w:val="0"/>
          <w:numId w:val="7"/>
        </w:numPr>
        <w:rPr>
          <w:b/>
          <w:szCs w:val="32"/>
        </w:rPr>
      </w:pPr>
      <w:r w:rsidRPr="00CF59EC">
        <w:rPr>
          <w:rFonts w:hint="eastAsia"/>
          <w:b/>
          <w:bCs/>
          <w:szCs w:val="32"/>
        </w:rPr>
        <w:t>产业转型升级的一般模式</w:t>
      </w:r>
    </w:p>
    <w:p w:rsidR="00A32964" w:rsidRPr="00CF59EC" w:rsidRDefault="00A32964" w:rsidP="00A32964">
      <w:pPr>
        <w:numPr>
          <w:ilvl w:val="0"/>
          <w:numId w:val="7"/>
        </w:numPr>
        <w:rPr>
          <w:b/>
          <w:szCs w:val="32"/>
        </w:rPr>
      </w:pPr>
      <w:r w:rsidRPr="00CF59EC">
        <w:rPr>
          <w:rFonts w:hint="eastAsia"/>
          <w:b/>
          <w:bCs/>
          <w:szCs w:val="32"/>
        </w:rPr>
        <w:t>国外发达国家及地区转型升级借鉴</w:t>
      </w:r>
    </w:p>
    <w:p w:rsidR="00A32964" w:rsidRPr="00CF59EC" w:rsidRDefault="00A32964" w:rsidP="00A32964">
      <w:pPr>
        <w:numPr>
          <w:ilvl w:val="0"/>
          <w:numId w:val="5"/>
        </w:numPr>
        <w:rPr>
          <w:b/>
          <w:bCs/>
          <w:szCs w:val="32"/>
        </w:rPr>
      </w:pPr>
      <w:r w:rsidRPr="00CF59EC">
        <w:rPr>
          <w:rFonts w:hint="eastAsia"/>
          <w:b/>
          <w:bCs/>
          <w:szCs w:val="32"/>
        </w:rPr>
        <w:t>产业转型升级：以广东为例</w:t>
      </w:r>
    </w:p>
    <w:p w:rsidR="00A32964" w:rsidRPr="00CF59EC" w:rsidRDefault="00A32964" w:rsidP="00A32964">
      <w:pPr>
        <w:numPr>
          <w:ilvl w:val="0"/>
          <w:numId w:val="8"/>
        </w:numPr>
        <w:rPr>
          <w:b/>
          <w:szCs w:val="32"/>
        </w:rPr>
      </w:pPr>
      <w:r w:rsidRPr="00CF59EC">
        <w:rPr>
          <w:rFonts w:hint="eastAsia"/>
          <w:b/>
          <w:szCs w:val="32"/>
        </w:rPr>
        <w:t>广东经济情况简介</w:t>
      </w:r>
    </w:p>
    <w:p w:rsidR="00A32964" w:rsidRPr="00CF59EC" w:rsidRDefault="00A32964" w:rsidP="00A32964">
      <w:pPr>
        <w:numPr>
          <w:ilvl w:val="0"/>
          <w:numId w:val="8"/>
        </w:numPr>
        <w:rPr>
          <w:b/>
          <w:szCs w:val="32"/>
        </w:rPr>
      </w:pPr>
      <w:r w:rsidRPr="00CF59EC">
        <w:rPr>
          <w:rFonts w:hint="eastAsia"/>
          <w:b/>
          <w:bCs/>
          <w:szCs w:val="32"/>
        </w:rPr>
        <w:t>广东的产业发展现状</w:t>
      </w:r>
    </w:p>
    <w:p w:rsidR="00A32964" w:rsidRPr="00CF59EC" w:rsidRDefault="00A32964" w:rsidP="00A32964">
      <w:pPr>
        <w:numPr>
          <w:ilvl w:val="0"/>
          <w:numId w:val="8"/>
        </w:numPr>
        <w:rPr>
          <w:b/>
          <w:szCs w:val="32"/>
        </w:rPr>
      </w:pPr>
      <w:r w:rsidRPr="00CF59EC">
        <w:rPr>
          <w:rFonts w:hint="eastAsia"/>
          <w:b/>
          <w:bCs/>
          <w:szCs w:val="32"/>
        </w:rPr>
        <w:t>广东产业转型升级路径与模式</w:t>
      </w:r>
    </w:p>
    <w:p w:rsidR="00A32964" w:rsidRPr="00CF59EC" w:rsidRDefault="00A32964" w:rsidP="00A32964">
      <w:pPr>
        <w:rPr>
          <w:b/>
          <w:szCs w:val="32"/>
        </w:rPr>
      </w:pPr>
    </w:p>
    <w:p w:rsidR="00A32964" w:rsidRPr="00CF59EC" w:rsidRDefault="00A32964" w:rsidP="00A32964">
      <w:pPr>
        <w:rPr>
          <w:b/>
          <w:sz w:val="24"/>
          <w:szCs w:val="32"/>
        </w:rPr>
      </w:pPr>
    </w:p>
    <w:p w:rsidR="00A32964" w:rsidRPr="00CF59EC" w:rsidRDefault="00A32964" w:rsidP="00A32964">
      <w:pPr>
        <w:rPr>
          <w:b/>
          <w:sz w:val="32"/>
          <w:szCs w:val="32"/>
          <w:u w:val="single"/>
        </w:rPr>
      </w:pPr>
      <w:r w:rsidRPr="00CF59EC">
        <w:rPr>
          <w:rFonts w:hint="eastAsia"/>
          <w:b/>
          <w:sz w:val="24"/>
          <w:szCs w:val="32"/>
        </w:rPr>
        <w:t>【授课师资】</w:t>
      </w:r>
      <w:r w:rsidRPr="00CF59EC">
        <w:rPr>
          <w:rFonts w:ascii="楷体" w:eastAsia="楷体" w:hAnsi="楷体" w:hint="eastAsia"/>
          <w:b/>
          <w:sz w:val="28"/>
          <w:szCs w:val="21"/>
          <w:u w:val="single"/>
        </w:rPr>
        <w:t>邓江年</w:t>
      </w:r>
    </w:p>
    <w:p w:rsidR="00A32964" w:rsidRPr="00BB095C" w:rsidRDefault="00A32964" w:rsidP="00A32964">
      <w:pPr>
        <w:spacing w:line="400" w:lineRule="exact"/>
        <w:rPr>
          <w:rFonts w:ascii="宋体" w:hAnsi="宋体"/>
          <w:sz w:val="24"/>
          <w:szCs w:val="24"/>
        </w:rPr>
      </w:pPr>
      <w:r w:rsidRPr="00BB095C">
        <w:rPr>
          <w:rFonts w:ascii="宋体" w:hAnsi="宋体" w:hint="eastAsia"/>
          <w:sz w:val="24"/>
          <w:szCs w:val="24"/>
        </w:rPr>
        <w:t>暨南大学经济学博士，广东省社会科学院广东海上丝绸之路研究院院长，研究员、博士，长期从事区域经济和海洋产业研究，出版了《劳动力资源配置和产业转型升级：机遇广东的实践》《劳动力迁移就业与农业生产效率研究》《“一带一路”资本合作机制研究》等专著。参编书籍十多部，在核心期刊发表论文十多篇，在省级以上报刊理论版发表文章100多篇，获得广东省哲学社会科学优秀成果奖一等奖和二等奖。参与申请并完成两项国家社科基金重大项目《科学发展观视阈的文化改革发展研究》和《构建21世纪海上丝绸之路的社会和文化基础研究》及一项国家社科基金一般项目《海洋经济供给侧结构性改革的实现路径研究》。</w:t>
      </w:r>
    </w:p>
    <w:p w:rsidR="00A32964" w:rsidRPr="00BB095C" w:rsidRDefault="00A32964" w:rsidP="00A32964">
      <w:pPr>
        <w:spacing w:line="400" w:lineRule="exact"/>
        <w:ind w:firstLineChars="200" w:firstLine="480"/>
        <w:rPr>
          <w:rFonts w:ascii="宋体" w:hAnsi="宋体"/>
          <w:sz w:val="24"/>
          <w:szCs w:val="24"/>
        </w:rPr>
      </w:pPr>
    </w:p>
    <w:p w:rsidR="00A32964" w:rsidRPr="00CF59EC" w:rsidRDefault="00A32964" w:rsidP="00A32964">
      <w:pPr>
        <w:numPr>
          <w:ilvl w:val="0"/>
          <w:numId w:val="3"/>
        </w:numPr>
        <w:rPr>
          <w:b/>
          <w:sz w:val="28"/>
          <w:szCs w:val="32"/>
        </w:rPr>
      </w:pPr>
      <w:r w:rsidRPr="00CF59EC">
        <w:rPr>
          <w:rFonts w:hint="eastAsia"/>
          <w:b/>
          <w:sz w:val="28"/>
          <w:szCs w:val="32"/>
        </w:rPr>
        <w:t>会计准则的最新变化及解析</w:t>
      </w:r>
    </w:p>
    <w:p w:rsidR="00A32964" w:rsidRPr="00CF59EC" w:rsidRDefault="00A32964" w:rsidP="00A32964">
      <w:pPr>
        <w:rPr>
          <w:sz w:val="28"/>
          <w:szCs w:val="28"/>
        </w:rPr>
      </w:pPr>
      <w:r w:rsidRPr="00CF59EC">
        <w:rPr>
          <w:rFonts w:hint="eastAsia"/>
          <w:b/>
          <w:sz w:val="24"/>
          <w:szCs w:val="28"/>
        </w:rPr>
        <w:t>【讲授提纲】</w:t>
      </w:r>
    </w:p>
    <w:p w:rsidR="00A32964" w:rsidRPr="00BB095C" w:rsidRDefault="00A32964" w:rsidP="00A32964">
      <w:pPr>
        <w:spacing w:line="400" w:lineRule="exact"/>
        <w:rPr>
          <w:rFonts w:ascii="宋体" w:hAnsi="宋体"/>
          <w:b/>
          <w:color w:val="000000"/>
          <w:sz w:val="24"/>
          <w:szCs w:val="24"/>
        </w:rPr>
      </w:pPr>
      <w:r w:rsidRPr="00BB095C">
        <w:rPr>
          <w:rFonts w:ascii="宋体" w:hAnsi="宋体" w:hint="eastAsia"/>
          <w:b/>
          <w:color w:val="000000"/>
          <w:sz w:val="24"/>
          <w:szCs w:val="24"/>
        </w:rPr>
        <w:t>一、全面实施准则后的历次修订</w:t>
      </w:r>
    </w:p>
    <w:p w:rsidR="00A32964" w:rsidRPr="00BB095C" w:rsidRDefault="00A32964" w:rsidP="00A32964">
      <w:pPr>
        <w:spacing w:line="400" w:lineRule="exact"/>
        <w:rPr>
          <w:rFonts w:ascii="宋体" w:hAnsi="宋体"/>
          <w:b/>
          <w:color w:val="000000"/>
          <w:sz w:val="24"/>
          <w:szCs w:val="24"/>
        </w:rPr>
      </w:pPr>
      <w:r w:rsidRPr="00BB095C">
        <w:rPr>
          <w:rFonts w:ascii="宋体" w:hAnsi="宋体" w:hint="eastAsia"/>
          <w:b/>
          <w:color w:val="000000"/>
          <w:sz w:val="24"/>
          <w:szCs w:val="24"/>
        </w:rPr>
        <w:t>二、准则修订的原因分析</w:t>
      </w:r>
    </w:p>
    <w:p w:rsidR="00A32964" w:rsidRPr="00BB095C" w:rsidRDefault="00A32964" w:rsidP="00A32964">
      <w:pPr>
        <w:spacing w:line="400" w:lineRule="exact"/>
        <w:rPr>
          <w:rFonts w:ascii="宋体" w:hAnsi="宋体"/>
          <w:b/>
          <w:color w:val="000000"/>
          <w:sz w:val="24"/>
          <w:szCs w:val="24"/>
        </w:rPr>
      </w:pPr>
      <w:r w:rsidRPr="00BB095C">
        <w:rPr>
          <w:rFonts w:ascii="宋体" w:hAnsi="宋体" w:hint="eastAsia"/>
          <w:b/>
          <w:color w:val="000000"/>
          <w:sz w:val="24"/>
          <w:szCs w:val="24"/>
        </w:rPr>
        <w:t>三、2014年准则修订（增订）解析</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t>1、基本准则</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t>2、长期股权投资（CAS2）</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lastRenderedPageBreak/>
        <w:t>3、职工薪酬（CAS9）</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t>4、财务报表列报（CAS30）</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t>5、合并财务报表（CAS33）</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t>6、金融工具列报（CAS37）</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t>7、公允价值计量（CAS39）</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t>8、合营安排（CAS40）</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t>9、在其他主体中权益的披露（CAS41）</w:t>
      </w:r>
    </w:p>
    <w:p w:rsidR="00A32964" w:rsidRPr="00BB095C" w:rsidRDefault="00A32964" w:rsidP="00A32964">
      <w:pPr>
        <w:spacing w:line="400" w:lineRule="exact"/>
        <w:rPr>
          <w:rFonts w:ascii="宋体" w:hAnsi="宋体"/>
          <w:b/>
          <w:color w:val="000000"/>
          <w:sz w:val="24"/>
          <w:szCs w:val="24"/>
        </w:rPr>
      </w:pPr>
      <w:r w:rsidRPr="00BB095C">
        <w:rPr>
          <w:rFonts w:ascii="宋体" w:hAnsi="宋体" w:hint="eastAsia"/>
          <w:b/>
          <w:color w:val="000000"/>
          <w:sz w:val="24"/>
          <w:szCs w:val="24"/>
        </w:rPr>
        <w:t>四、即将修订的准则、原因与变化</w:t>
      </w:r>
    </w:p>
    <w:p w:rsidR="00A32964" w:rsidRPr="00CF59EC" w:rsidRDefault="00A32964" w:rsidP="00A32964"/>
    <w:p w:rsidR="00A32964" w:rsidRPr="00CF59EC" w:rsidRDefault="00A32964" w:rsidP="00A32964">
      <w:pPr>
        <w:rPr>
          <w:u w:val="single"/>
        </w:rPr>
      </w:pPr>
      <w:r w:rsidRPr="00CF59EC">
        <w:rPr>
          <w:rFonts w:hint="eastAsia"/>
          <w:b/>
          <w:sz w:val="24"/>
          <w:szCs w:val="32"/>
        </w:rPr>
        <w:t>【授课师资】</w:t>
      </w:r>
      <w:r w:rsidRPr="00CF59EC">
        <w:rPr>
          <w:rFonts w:ascii="楷体" w:eastAsia="楷体" w:hAnsi="楷体" w:hint="eastAsia"/>
          <w:b/>
          <w:sz w:val="28"/>
          <w:szCs w:val="21"/>
          <w:u w:val="single"/>
        </w:rPr>
        <w:t>石本仁教授</w:t>
      </w:r>
    </w:p>
    <w:p w:rsidR="00A32964" w:rsidRPr="00BB095C" w:rsidRDefault="00A32964" w:rsidP="00A32964">
      <w:pPr>
        <w:spacing w:line="400" w:lineRule="exact"/>
        <w:ind w:firstLineChars="200" w:firstLine="480"/>
        <w:rPr>
          <w:rFonts w:ascii="宋体" w:hAnsi="宋体"/>
          <w:color w:val="000000"/>
          <w:sz w:val="24"/>
          <w:szCs w:val="24"/>
        </w:rPr>
      </w:pPr>
      <w:r w:rsidRPr="00BB095C">
        <w:rPr>
          <w:rFonts w:ascii="宋体" w:hAnsi="宋体" w:hint="eastAsia"/>
          <w:color w:val="000000"/>
          <w:sz w:val="24"/>
          <w:szCs w:val="24"/>
        </w:rPr>
        <w:t>博士，暨南大学会计学教授。先后主持教育部人文社会科学研究项目和国家自然科学基金项目，参加国家自然科学基金重点项目、国家社会科学基金项目、教育部人文社会科学项目、财政部重点项目的研究工作。主要研究领域为公司治理与信息披露研究、家族企业治理与信息露规范、企业合并会计、衍生工具会计等。著有《公司治理与中国会计改革》等。在《会计研究》等刊物发表《公司治理中的会计角色》等学术论文四十余篇。主要为本科生讲授《高级财务会计》、《中级财务会计》、《财务会计理论》、《会计发展史》，为硕士研究生讲授《财务会计理论》、《高级财务会计》、《公司治理》，为博士研究生讲授《会计基本理论与方法》、《公司治理与信息披露相关研究》等课程。</w:t>
      </w:r>
    </w:p>
    <w:p w:rsidR="00A32964" w:rsidRPr="00BB095C" w:rsidRDefault="00A32964" w:rsidP="00A32964">
      <w:pPr>
        <w:spacing w:line="400" w:lineRule="exact"/>
        <w:ind w:firstLineChars="200" w:firstLine="480"/>
        <w:rPr>
          <w:rFonts w:ascii="宋体" w:hAnsi="宋体"/>
          <w:color w:val="000000"/>
          <w:sz w:val="24"/>
          <w:szCs w:val="24"/>
        </w:rPr>
      </w:pPr>
    </w:p>
    <w:p w:rsidR="00A32964" w:rsidRPr="00CF59EC" w:rsidRDefault="00A32964" w:rsidP="00A32964">
      <w:pPr>
        <w:numPr>
          <w:ilvl w:val="0"/>
          <w:numId w:val="3"/>
        </w:numPr>
        <w:wordWrap w:val="0"/>
        <w:rPr>
          <w:b/>
          <w:sz w:val="28"/>
          <w:szCs w:val="32"/>
        </w:rPr>
      </w:pPr>
      <w:r w:rsidRPr="00CF59EC">
        <w:rPr>
          <w:rFonts w:hint="eastAsia"/>
          <w:b/>
          <w:sz w:val="28"/>
          <w:szCs w:val="32"/>
        </w:rPr>
        <w:t>管理会计与企业价值创造</w:t>
      </w:r>
    </w:p>
    <w:p w:rsidR="00A32964" w:rsidRPr="00BB095C" w:rsidRDefault="00A32964" w:rsidP="00A32964">
      <w:pPr>
        <w:spacing w:line="400" w:lineRule="exact"/>
        <w:rPr>
          <w:rFonts w:ascii="宋体" w:hAnsi="宋体"/>
          <w:b/>
          <w:color w:val="000000"/>
          <w:sz w:val="24"/>
          <w:szCs w:val="24"/>
        </w:rPr>
      </w:pPr>
      <w:r w:rsidRPr="00BB095C">
        <w:rPr>
          <w:rFonts w:ascii="宋体" w:hAnsi="宋体" w:hint="eastAsia"/>
          <w:b/>
          <w:color w:val="000000"/>
          <w:sz w:val="24"/>
          <w:szCs w:val="24"/>
        </w:rPr>
        <w:t>一、为什么要大力推进管理会计</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t>（一）大力推进管理会计背景</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t>（二）大力推进管理会计意义</w:t>
      </w:r>
    </w:p>
    <w:p w:rsidR="00A32964" w:rsidRPr="00BB095C" w:rsidRDefault="00A32964" w:rsidP="00A32964">
      <w:pPr>
        <w:spacing w:line="400" w:lineRule="exact"/>
        <w:rPr>
          <w:rFonts w:ascii="宋体" w:hAnsi="宋体"/>
          <w:b/>
          <w:color w:val="000000"/>
          <w:sz w:val="24"/>
          <w:szCs w:val="24"/>
        </w:rPr>
      </w:pPr>
      <w:r w:rsidRPr="00BB095C">
        <w:rPr>
          <w:rFonts w:ascii="宋体" w:hAnsi="宋体" w:hint="eastAsia"/>
          <w:b/>
          <w:color w:val="000000"/>
          <w:sz w:val="24"/>
          <w:szCs w:val="24"/>
        </w:rPr>
        <w:t>二、管理会计创造企业价值</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t>（一）20世纪西方管理会计发展的回顾</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t>（二）我国管理会计发展的回顾</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t>（三）管理会计与企业价值创造</w:t>
      </w:r>
    </w:p>
    <w:p w:rsidR="00A32964" w:rsidRPr="00BB095C" w:rsidRDefault="00A32964" w:rsidP="00A32964">
      <w:pPr>
        <w:spacing w:line="400" w:lineRule="exact"/>
        <w:rPr>
          <w:rFonts w:ascii="宋体" w:hAnsi="宋体"/>
          <w:b/>
          <w:color w:val="000000"/>
          <w:sz w:val="24"/>
          <w:szCs w:val="24"/>
        </w:rPr>
      </w:pPr>
      <w:r w:rsidRPr="00BB095C">
        <w:rPr>
          <w:rFonts w:ascii="宋体" w:hAnsi="宋体" w:hint="eastAsia"/>
          <w:b/>
          <w:color w:val="000000"/>
          <w:sz w:val="24"/>
          <w:szCs w:val="24"/>
        </w:rPr>
        <w:t>三、管理会计的框架</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t>（一）管理会计体系建设的内容</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t>（二）管理会计基本指引</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t>（三）管理会计工具方法</w:t>
      </w:r>
    </w:p>
    <w:p w:rsidR="00A32964" w:rsidRPr="00BB095C" w:rsidRDefault="00A32964" w:rsidP="00A32964">
      <w:pPr>
        <w:spacing w:line="400" w:lineRule="exact"/>
        <w:rPr>
          <w:rFonts w:ascii="宋体" w:hAnsi="宋体"/>
          <w:b/>
          <w:color w:val="000000"/>
          <w:sz w:val="24"/>
          <w:szCs w:val="24"/>
        </w:rPr>
      </w:pPr>
      <w:r w:rsidRPr="00BB095C">
        <w:rPr>
          <w:rFonts w:ascii="宋体" w:hAnsi="宋体" w:hint="eastAsia"/>
          <w:b/>
          <w:color w:val="000000"/>
          <w:sz w:val="24"/>
          <w:szCs w:val="24"/>
        </w:rPr>
        <w:t>四、管理会计能力框架</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lastRenderedPageBreak/>
        <w:t>（一）CGMA管理会计能力框架</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t>（二）美国管理会计师协会（IMA）管理会计能力素质框架</w:t>
      </w:r>
    </w:p>
    <w:p w:rsidR="00A32964" w:rsidRPr="00BB095C" w:rsidRDefault="00A32964" w:rsidP="00A32964">
      <w:pPr>
        <w:spacing w:line="400" w:lineRule="exact"/>
        <w:rPr>
          <w:rFonts w:ascii="宋体" w:hAnsi="宋体"/>
          <w:color w:val="000000"/>
          <w:sz w:val="24"/>
          <w:szCs w:val="24"/>
        </w:rPr>
      </w:pPr>
      <w:r w:rsidRPr="00BB095C">
        <w:rPr>
          <w:rFonts w:ascii="宋体" w:hAnsi="宋体" w:hint="eastAsia"/>
          <w:color w:val="000000"/>
          <w:sz w:val="24"/>
          <w:szCs w:val="24"/>
        </w:rPr>
        <w:t>（三）GAMA管理会计能力框架</w:t>
      </w:r>
    </w:p>
    <w:p w:rsidR="00A32964" w:rsidRPr="00BB095C" w:rsidRDefault="00A32964" w:rsidP="00A32964">
      <w:pPr>
        <w:spacing w:line="400" w:lineRule="exact"/>
        <w:rPr>
          <w:rFonts w:ascii="宋体" w:hAnsi="宋体"/>
          <w:b/>
          <w:color w:val="000000"/>
          <w:sz w:val="24"/>
          <w:szCs w:val="24"/>
        </w:rPr>
      </w:pPr>
      <w:r w:rsidRPr="00BB095C">
        <w:rPr>
          <w:rFonts w:ascii="宋体" w:hAnsi="宋体" w:hint="eastAsia"/>
          <w:b/>
          <w:color w:val="000000"/>
          <w:sz w:val="24"/>
          <w:szCs w:val="24"/>
        </w:rPr>
        <w:t>五、管理会计的实践</w:t>
      </w:r>
    </w:p>
    <w:p w:rsidR="00A32964" w:rsidRPr="00CF59EC" w:rsidRDefault="00A32964" w:rsidP="00A32964"/>
    <w:p w:rsidR="00A32964" w:rsidRPr="00CF59EC" w:rsidRDefault="00A32964" w:rsidP="00A32964">
      <w:pPr>
        <w:rPr>
          <w:rFonts w:ascii="宋体" w:hAnsi="宋体" w:cs="Arial"/>
          <w:b/>
          <w:sz w:val="24"/>
          <w:szCs w:val="24"/>
        </w:rPr>
      </w:pPr>
      <w:r w:rsidRPr="00CF59EC">
        <w:rPr>
          <w:rFonts w:hint="eastAsia"/>
          <w:b/>
          <w:sz w:val="24"/>
          <w:szCs w:val="32"/>
        </w:rPr>
        <w:t>【授课师资】</w:t>
      </w:r>
      <w:r w:rsidRPr="00CF59EC">
        <w:rPr>
          <w:rFonts w:ascii="楷体" w:eastAsia="楷体" w:hAnsi="楷体" w:hint="eastAsia"/>
          <w:b/>
          <w:sz w:val="28"/>
          <w:szCs w:val="21"/>
          <w:u w:val="single"/>
        </w:rPr>
        <w:t>刘中华教授</w:t>
      </w:r>
    </w:p>
    <w:p w:rsidR="00A32964" w:rsidRPr="00BB095C" w:rsidRDefault="00A32964" w:rsidP="00A32964">
      <w:pPr>
        <w:spacing w:line="400" w:lineRule="exact"/>
        <w:ind w:firstLineChars="200" w:firstLine="480"/>
        <w:rPr>
          <w:rFonts w:ascii="宋体" w:hAnsi="宋体"/>
          <w:color w:val="000000"/>
          <w:sz w:val="24"/>
          <w:szCs w:val="24"/>
        </w:rPr>
      </w:pPr>
      <w:r w:rsidRPr="00BB095C">
        <w:rPr>
          <w:rFonts w:ascii="宋体" w:hAnsi="宋体" w:hint="eastAsia"/>
          <w:color w:val="000000"/>
          <w:sz w:val="24"/>
          <w:szCs w:val="24"/>
        </w:rPr>
        <w:t>广东外语外贸大学会计学院院长，会计学教授，硕士生导师，广东省管理会计师协会副会长。中国会计学会理事兼会计教育专业委员会委员，中国外贸会计学会常务理事。主持完成国家及省部级课题多项，在权威及核心刊物发表论文80余篇，主编专著10余部，主讲《财务报表分析》等课程，主要研究领域财务分析与内部控制。目前为广东外语外贸大学会计学院“会计学”国家特色专业建设项目负责人，会计学省级名牌专业项目建设主持人，省级“会计学”综合教改建设项目主持人，省级“会计会计电算化”精品资源课程负责人，省级“会计学”教学团队项目负责人。</w:t>
      </w:r>
    </w:p>
    <w:p w:rsidR="00A32964" w:rsidRPr="00CF59EC" w:rsidRDefault="00A32964" w:rsidP="00A32964">
      <w:pPr>
        <w:rPr>
          <w:rFonts w:eastAsia="仿宋_GB2312"/>
          <w:sz w:val="28"/>
        </w:rPr>
      </w:pPr>
    </w:p>
    <w:p w:rsidR="00F85B8D" w:rsidRPr="00A32964" w:rsidRDefault="00F85B8D"/>
    <w:sectPr w:rsidR="00F85B8D" w:rsidRPr="00A329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05pt;height:11.05pt" o:bullet="t">
        <v:imagedata r:id="rId1" o:title="msoB240"/>
      </v:shape>
    </w:pict>
  </w:numPicBullet>
  <w:abstractNum w:abstractNumId="0">
    <w:nsid w:val="07AD2D02"/>
    <w:multiLevelType w:val="hybridMultilevel"/>
    <w:tmpl w:val="189447D0"/>
    <w:lvl w:ilvl="0" w:tplc="BFC6B4D6">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0C040F"/>
    <w:multiLevelType w:val="hybridMultilevel"/>
    <w:tmpl w:val="158874DE"/>
    <w:lvl w:ilvl="0" w:tplc="E7A688F2">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
    <w:nsid w:val="1AE85F5D"/>
    <w:multiLevelType w:val="multilevel"/>
    <w:tmpl w:val="FFC822F0"/>
    <w:lvl w:ilvl="0">
      <w:start w:val="1"/>
      <w:numFmt w:val="decimal"/>
      <w:lvlText w:val="%1."/>
      <w:lvlJc w:val="left"/>
      <w:pPr>
        <w:ind w:left="360" w:hanging="360"/>
      </w:pPr>
      <w:rPr>
        <w:rFonts w:hint="default"/>
        <w:b/>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AB2730E"/>
    <w:multiLevelType w:val="hybridMultilevel"/>
    <w:tmpl w:val="74347172"/>
    <w:lvl w:ilvl="0" w:tplc="7576D232">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4">
    <w:nsid w:val="4BD85248"/>
    <w:multiLevelType w:val="hybridMultilevel"/>
    <w:tmpl w:val="72B06376"/>
    <w:lvl w:ilvl="0" w:tplc="753A8EE6">
      <w:start w:val="1"/>
      <w:numFmt w:val="decimal"/>
      <w:lvlText w:val="%1、"/>
      <w:lvlJc w:val="left"/>
      <w:pPr>
        <w:ind w:left="885" w:hanging="375"/>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5">
    <w:nsid w:val="61C2257D"/>
    <w:multiLevelType w:val="hybridMultilevel"/>
    <w:tmpl w:val="A61C230C"/>
    <w:lvl w:ilvl="0" w:tplc="04090007">
      <w:start w:val="1"/>
      <w:numFmt w:val="bullet"/>
      <w:lvlText w:val=""/>
      <w:lvlPicBulletId w:val="0"/>
      <w:lvlJc w:val="left"/>
      <w:pPr>
        <w:ind w:left="622" w:hanging="480"/>
      </w:pPr>
      <w:rPr>
        <w:rFonts w:ascii="Wingdings" w:hAnsi="Wingdings" w:hint="default"/>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6">
    <w:nsid w:val="6DAD52F9"/>
    <w:multiLevelType w:val="multilevel"/>
    <w:tmpl w:val="6DAD52F9"/>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
    <w:nsid w:val="7EE153D1"/>
    <w:multiLevelType w:val="hybridMultilevel"/>
    <w:tmpl w:val="6BE0E5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7"/>
  </w:num>
  <w:num w:numId="4">
    <w:abstractNumId w:val="5"/>
  </w:num>
  <w:num w:numId="5">
    <w:abstractNumId w:val="0"/>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964"/>
    <w:rsid w:val="00A32964"/>
    <w:rsid w:val="00F85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96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32964"/>
    <w:rPr>
      <w:sz w:val="18"/>
      <w:szCs w:val="18"/>
    </w:rPr>
  </w:style>
  <w:style w:type="character" w:customStyle="1" w:styleId="Char">
    <w:name w:val="批注框文本 Char"/>
    <w:basedOn w:val="a0"/>
    <w:link w:val="a3"/>
    <w:uiPriority w:val="99"/>
    <w:semiHidden/>
    <w:rsid w:val="00A32964"/>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96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32964"/>
    <w:rPr>
      <w:sz w:val="18"/>
      <w:szCs w:val="18"/>
    </w:rPr>
  </w:style>
  <w:style w:type="character" w:customStyle="1" w:styleId="Char">
    <w:name w:val="批注框文本 Char"/>
    <w:basedOn w:val="a0"/>
    <w:link w:val="a3"/>
    <w:uiPriority w:val="99"/>
    <w:semiHidden/>
    <w:rsid w:val="00A32964"/>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shdpeixun@solgrand.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447</Words>
  <Characters>2553</Characters>
  <Application>Microsoft Office Word</Application>
  <DocSecurity>0</DocSecurity>
  <Lines>21</Lines>
  <Paragraphs>5</Paragraphs>
  <ScaleCrop>false</ScaleCrop>
  <Company>Hewlett-Packard Company</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dc:creator>
  <cp:lastModifiedBy>ws</cp:lastModifiedBy>
  <cp:revision>1</cp:revision>
  <dcterms:created xsi:type="dcterms:W3CDTF">2017-04-26T07:20:00Z</dcterms:created>
  <dcterms:modified xsi:type="dcterms:W3CDTF">2017-04-26T07:20:00Z</dcterms:modified>
</cp:coreProperties>
</file>