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附件1</w:t>
      </w:r>
    </w:p>
    <w:bookmarkEnd w:id="0"/>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广东省注册会计师继续教育实施办法</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修订征求意见稿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为规范全省注册会计师继续教育工作，不断保持和提升注册会计师的专业胜任能力，根据《中国注册会计师继续教育制度》和《广东省注册会计师协会章程》等有关规定，制定本办法。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本办法适用于在广东省注册会计师协会（以下简称省注协）注册的注册会计师。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注册会计师作为保持和提高专业胜任能力的责任主体，享有继续教育的会员权利和履行继续教育的会员义务。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继续教育贯穿于注册会计师执业生涯的始终，广东省注册会计师应当按照本办法的要求接受继续教育。</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省注协建立全省注册会计师继续教育管理机制，充分发挥各地级以上市注册会计师协会（以下简称市注协）和会计师事务所（含分所，以下简称事务所）在注册会计师继续教育中的作用。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省注协、市注协、事务所应当保障注册会计师继续教育经费投入。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第二章  继续教育的组织管理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注册会计师继续教育实行统一管理，分级负责实施。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省注协负责全省注册会计师继续教育的组织管理和协调工作。具体包括：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制定广东省注册会计师继续教育实施办法。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根据中国注册会计师协会（以下简称中注协）注册会计师年度继续教育工作要点，编制并组织实施全省年度继续教育计划。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组织全省注册会计师参加中注协举办及委托举办的各类培训。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开展全省注册会计师普及性、本地化、特色化培训工作。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指导和评价市注协的继续教育工作。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（六）审核认定全省事务所内部培训资格，</w:t>
      </w:r>
      <w:r>
        <w:rPr>
          <w:rFonts w:hint="eastAsia" w:ascii="仿宋_GB2312" w:hAnsi="仿宋_GB2312" w:eastAsia="仿宋_GB2312" w:cs="仿宋_GB2312"/>
          <w:sz w:val="32"/>
          <w:szCs w:val="32"/>
          <w:lang w:val="en-US" w:eastAsia="zh-CN"/>
        </w:rPr>
        <w:t>公示后</w:t>
      </w:r>
      <w:r>
        <w:rPr>
          <w:rFonts w:hint="eastAsia" w:ascii="仿宋_GB2312" w:hAnsi="仿宋_GB2312" w:eastAsia="仿宋_GB2312" w:cs="仿宋_GB2312"/>
          <w:sz w:val="32"/>
          <w:szCs w:val="32"/>
        </w:rPr>
        <w:t>报中注协备案。指导、监督、评价具有内部培训资格的事务所内部培训工作，并进行抽查。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（七）通过中注协行业管理信息系统，动态向中注协报备培训相关材料和数据，包括：继续教育实施办法、年度继续教育计划、具体实施情况、年度培训总结等。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（八）全省注册会计师继续教育组织管理的其他职责。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市注协负责本地区注册会计师继续教育的组织管理工作。具体包括：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（一）根据省注协注册会计师年度继续教育计划，编制并组织实施本地区年度继续教育计划。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根据省注协安排，</w:t>
      </w:r>
      <w:r>
        <w:rPr>
          <w:rFonts w:hint="eastAsia" w:ascii="仿宋_GB2312" w:hAnsi="仿宋_GB2312" w:eastAsia="仿宋_GB2312" w:cs="仿宋_GB2312"/>
          <w:sz w:val="32"/>
          <w:szCs w:val="32"/>
        </w:rPr>
        <w:t>组织本地区注册会计师参加中注协、省注协举办及委托举办的各类培训。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（三）管理、督促本地区注册会计师在每一个考核周期内完成继续教育的学时要求。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（四）结合本地区实际情况开展本地区注册会计师普及性、本地化、特色化培训工作。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（五）动态向省注协报备培训相关材料和数据，包括：继续教育实施办法、年度继续教育计划、培训班通知、具体实施情况、年度培训总结等。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（六）本地区注册会计师继续教育组织管理的其他职责。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事务所负责本所注册会计师继续教育的组织管理工作，并提供必要的学习条件和经费保障。具体包括：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（一）建立健全本所注册会计师继续教育办法。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（二）编制本所注册会计师年度继续教育计划。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（三）组织本所注册会计师参加注册会计师协会举办或委托举办的各类培训。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（四）开展多种形式的内部培训。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（五）本所继续教育组织管理的其他职责。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注册会计师应当在取得执业资格后接受继续教育。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注册会计师应当真实、完整地保管与继续教育有关的记录和证明材料，并应按注册会计师协会的要求提交相关记录和证明材料。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受托举办培训班的培训机构，应当按照注册会计师协会的规划和要求及本办法的规定，合理设计培训内容，选择科学适用的培训方式，聘请具有胜任能力的师资，并向</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val="en-US" w:eastAsia="zh-CN"/>
        </w:rPr>
        <w:t>协或市注协</w:t>
      </w:r>
      <w:r>
        <w:rPr>
          <w:rFonts w:hint="eastAsia" w:ascii="仿宋_GB2312" w:hAnsi="仿宋_GB2312" w:eastAsia="仿宋_GB2312" w:cs="仿宋_GB2312"/>
          <w:sz w:val="32"/>
          <w:szCs w:val="32"/>
        </w:rPr>
        <w:t>报告培训班实施情况和培训结果。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培训机构应当向培训合格的注册会计师提供证明文件，并妥善保管相关资料，保管期至少三年。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事务所具备下列条件的，可在每年5月31日前向省注协申请内部培训资格：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（一）至少50名注册会计师（以事务所当年度4月30日实际在册的注册会计师人数为准）。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（二）具有健全的内部培训及考核制度和科学的培训计划。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（三）设有专门从事培训工作的职能部门和人员。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（四）能够提供符合培训要求的师资、场地和设施。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上报的申请材料经省注协审核并公示后，正式确定当年度内部培训会计师事务所名单。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具有内部培训资格的事务所应通过中注协行业管理信息系统，动态报备培训相关材料和数据，包括：本所内部培训制度、年度培训计划、具体实施情况、年度培训总结等。省注协经评估后认可其继续教育学时。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分所注册会计师接受总所统一培训的，分所应于当年5月31日前将总所内部培训资格、年度培训计划、培训师资等相关材料报省注协审核。总所培训通知应抄送省注协。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存在以下情形之一的，省注协不予认可内部培训学时：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（一）被取消内部培训资格的事务所，当年度开展的内部培训不予确认学时。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（二）具有内部培训资格总所的分所未获批内部培训资格的，以分所名义举办的各类培训，不予确认学时。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（三）没有提前报备培训计划和实施文件的，不予确认学时。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（四）省注协认定存在弄虚作假情形的。取消其内部培训资格。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省注协不定期对事务所内部培训工作情况进行抽查、考核评估，发现有下列情形之一的，取消其当年内部培训资格、不予确认当年已开展的内部培训学时，且三年内不得再次申请：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（一）实际未组织开展内部培训，或者未按计划完成培训目标。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（二）未实行考勤、考试等内部培训制度，或者培训纪律涣散，无法保证培训质量与效果。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（三）未达到预期培训学时，弄虚作假骗取继续教育学时。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（四）经抽查被界定为不符合内部培训条件。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（五）其他严重违反诚信原则和继续教育制度的情形。</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第三章  继续教育的内容、形式与学时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注册会计师继续教育体现党的路线、方针、政策，职业发展目标，所处的职业领域和发展阶段的差异以及职业环境的变化，包括与保持和提升专业胜任能力相关的技术胜任能力、职业技能、职业价值观、道德与态度以及实务经历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继续教育形式包括投入法形式和产出法认可的其他形式。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投入法的继续教育形式是指注册会计师参加面授培训和网络录播培训。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面授培训指注册会计师行业党委、注册会计师协会、事务所组织的面授培训班（含在线直播培训）、专业论坛、研讨会等。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网络录播培训是指注册会计师协会、事务所建设或认可的网络培训平台提供的培训。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注册会计师参加以上形式的继续教育，至少45分钟为1个学时，按照实际参加时间确认。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产出法认可的其他形式是指与执业相关的专业活动及成果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按下列标准确认学时：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（一）担任中注协或省注协、市注协举办或者委托培训机构举办的各类培训班授课人、专业论坛或研讨会的演讲人，按实际授课或演讲时间的三倍折算学时，每年最多可确认24个学时。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（二）参加行业标准、制度研究起草工作，每项可折算8个学时，每年最多可确认24个学时。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（三）参加行业执业质量检查，每天可折算4个学时，每年最多可确认24个学时。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（四）担任注册会计师考试命题阅卷专家、行业高端人才选拔测试的命题专家和考官，每半天可折算4个学时，每年最多可确认24个学时。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（五）参与行业发展研究相关工作，每项可折算4个学时，每年最多可确认12个学时。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参与行业国际事务，担任国际会计审计等专业组织委员、顾问等职务并参加相关会议，每半天可折算4个学时，每年最多可确认24个学时。整理、研究行业国际事务相关材料，每次可折算2个学时，每年最多可确认10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（七）参加行业信息化专项工作，每项可折算8个学时，每年最多可确认24个学时。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（八）参加中注协团体标准研究起草工作，相关标准通过技术审查并发布，每项可折算8个学时，每年最多可确认24个学时。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公开出版相关专业著作、承担相关课题研究，每项可折算12个学时，每年最多可确认24个学时；在核心刊物公开发表专业论文，每篇可折算8个学时，每年最多可确认24个学时，非核心期刊公开发表专业论文减半确认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（十）参加会计审计相关专业在职学位教育并取得学位的，当年可确认24个学时。参加其他专业在职学位教育并取得学位的，减半确认学时。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（十一）取得高级专业技术资格证书，或取得境外专业资格，当年可确认16个学时。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（十二）在高校担任校外导师且承担会计、审计相关学科教学任务，任职期间每年可确认24个学时。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（十三）本办法中未明确的其他继续教育形式和学时，由</w:t>
      </w:r>
      <w:r>
        <w:rPr>
          <w:rFonts w:hint="eastAsia" w:ascii="仿宋_GB2312" w:hAnsi="仿宋_GB2312" w:eastAsia="仿宋_GB2312" w:cs="仿宋_GB2312"/>
          <w:sz w:val="32"/>
          <w:szCs w:val="32"/>
          <w:lang w:val="en-US" w:eastAsia="zh-CN"/>
        </w:rPr>
        <w:t>中注协或</w:t>
      </w:r>
      <w:r>
        <w:rPr>
          <w:rFonts w:hint="eastAsia" w:ascii="仿宋_GB2312" w:hAnsi="仿宋_GB2312" w:eastAsia="仿宋_GB2312" w:cs="仿宋_GB2312"/>
          <w:sz w:val="32"/>
          <w:szCs w:val="32"/>
        </w:rPr>
        <w:t>省注协认定。</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省注协将认定的其他继续教育形式及学时情况报中注协备案。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参加本条所列继续教育的，可合并确认学时，每年最多确认24个学时。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注册会计师继续教育每年为一个考核周期，从1月1日起至当年12月31日止。注册会计师每年接受继续教育累计不得少于40个学时。本年度的继续教育学时仅在当年有效。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有关职业道德的培训，每个周期不得少于4个学时。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面授培训，每个周期不少于16个学时。遇有不可抗力因素影响面授培训，经中注协批准可由网络录播培训代替。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存在下列情形之一，可向省注协提出书面申请，经批准可不参加当年度继续教育培训。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（一）在境外停留半年以上的。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（二）生育休产假的。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（三）休病假半年以上的。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（四）7月1日之后新注册的。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第四章  继续教育学时的确认与考核</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省注协负责确认和登记全省注册会计师继续教育学时，并考核其完成情况。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对当年未完成规定继续教育学时的注册会计师，省注协进行公告，并按照《注册会计师任职资格检查办法》相关规定处理。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市注协、具有内部培训资格的事务所每年12月20日前，</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当年度继续教育具体实施情况和年度培训总结等相关材料和培训学时数据上报省注协。省注协经评估、核实后确认其继续教育学时。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分所注册会计师完成总所统一培训后，</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于当年12月20日前向省注协提交由总所所在地省级注协出具的书面认可培训证明、培训通知文件、参培人员签到表等相关证明材料。省注协经评估、核实后确认其继续教育学时。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注册会计师参加本办法第十八条所列产出法认可的继续教育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或存在第二十条所列情形之一，需申请学时确认或豁免的，</w:t>
      </w:r>
      <w:r>
        <w:rPr>
          <w:rFonts w:hint="eastAsia" w:ascii="仿宋_GB2312" w:hAnsi="仿宋_GB2312" w:eastAsia="仿宋_GB2312" w:cs="仿宋_GB2312"/>
          <w:sz w:val="32"/>
          <w:szCs w:val="32"/>
          <w:lang w:val="en-US" w:eastAsia="zh-CN"/>
        </w:rPr>
        <w:t>应于</w:t>
      </w:r>
      <w:r>
        <w:rPr>
          <w:rFonts w:hint="eastAsia" w:ascii="仿宋_GB2312" w:hAnsi="仿宋_GB2312" w:eastAsia="仿宋_GB2312" w:cs="仿宋_GB2312"/>
          <w:sz w:val="32"/>
          <w:szCs w:val="32"/>
        </w:rPr>
        <w:t>当年12月20日前登录省注协公共服务平台，填写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学时确认申请表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并上传有关证明材料，省注协经评估、核实后予以办理。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注册会计师继续教育实行考试、考核制度。考试、考核不合格者，不计算继续教育学时，同时将培训结果通报所在事务所。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注册会计师有下列行为之一，取消相应的继续教育学时：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（一）提供虚假证明材料骗取继续教育学时。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（二）由他人代替参加继续教育培训。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（三）严重违反继续教育有关培训纪律和管理制度。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注册会计师应将继续教育相关资料妥善保管三年，并在省注协检查或抽查时予以提供。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外省转入的注册会计师，省注协凭转出地省级注协出具的《培训学时证明表》，确认继续教育学时。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转会的注册会计师，省注协对其当年度已完成的继续教育学时予以认可，并可为其出具《培训学时证明表》。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因执业质量问题等原因，由主管部门或省注协对注册会计师进行的强制培训，不作为继续教育，不予确认学时。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省注协鼓励市注协、事务所以及注册会计师开展下列继续教育工作，成绩突出的予以表扬，并在各类评比中予以加分或者同等条件下享有优先权利：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（一）鼓励市注协、事务所、注册会计师开发优质共享课件、课程。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（二）鼓励市注协、事务所、注册会计师推荐高校优质师资或自荐。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（三）鼓励师资相对丰富的市注协牵头联合其他市注协定期举办跨市间继续教育。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（四）鼓励市注协将事务所待注册从业人员纳入继续教育范围。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（五）鼓励符合内部培训资格的事务所联合中小事务所申请内部培训资格。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（六）鼓励具有内部培训资格的事务所向其他事务所开放不涉及商业秘密的内部培训名额。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（七）鼓励事务所支持本所优秀注册会计师成为行业导师以及接受省注协、市注协邀请授课。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（八）鼓励市注协、事务所、注册会计师开展各类培训创新工作。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本办法自发布之日起实施。2007年1月18日发布的《广东省注册会计师继续教育管理制度》同时废止。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adjustRightInd w:val="0"/>
        <w:snapToGrid w:val="0"/>
        <w:spacing w:line="560" w:lineRule="atLeast"/>
        <w:rPr>
          <w:rFonts w:ascii="仿宋_GB2312" w:hAnsi="Times New Roman" w:eastAsia="仿宋_GB2312" w:cs="Times New Roman"/>
          <w:b/>
          <w:bCs/>
          <w:sz w:val="28"/>
          <w:szCs w:val="24"/>
        </w:rPr>
      </w:pPr>
      <w:r>
        <w:rPr>
          <w:rFonts w:hint="eastAsia" w:ascii="黑体" w:hAnsi="黑体" w:eastAsia="黑体" w:cs="黑体"/>
          <w:b w:val="0"/>
          <w:bCs w:val="0"/>
          <w:sz w:val="32"/>
          <w:szCs w:val="32"/>
        </w:rPr>
        <w:t>附表1</w:t>
      </w:r>
    </w:p>
    <w:p>
      <w:pPr>
        <w:spacing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中国注册会计师继续教育学时确认申请表</w:t>
      </w:r>
    </w:p>
    <w:tbl>
      <w:tblPr>
        <w:tblStyle w:val="4"/>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635"/>
        <w:gridCol w:w="525"/>
        <w:gridCol w:w="375"/>
        <w:gridCol w:w="705"/>
        <w:gridCol w:w="180"/>
        <w:gridCol w:w="163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noWrap w:val="0"/>
            <w:vAlign w:val="top"/>
          </w:tcPr>
          <w:p>
            <w:pPr>
              <w:jc w:val="both"/>
              <w:rPr>
                <w:rFonts w:ascii="仿宋_GB2312" w:hAnsi="Times New Roman" w:eastAsia="仿宋_GB2312" w:cs="Times New Roman"/>
                <w:sz w:val="28"/>
                <w:szCs w:val="24"/>
              </w:rPr>
            </w:pPr>
            <w:r>
              <w:rPr>
                <w:rFonts w:hint="eastAsia" w:ascii="仿宋_GB2312" w:hAnsi="Times New Roman" w:eastAsia="仿宋_GB2312" w:cs="Times New Roman"/>
                <w:sz w:val="28"/>
                <w:szCs w:val="24"/>
              </w:rPr>
              <w:t>姓名</w:t>
            </w:r>
          </w:p>
        </w:tc>
        <w:tc>
          <w:tcPr>
            <w:tcW w:w="1635" w:type="dxa"/>
            <w:noWrap w:val="0"/>
            <w:vAlign w:val="top"/>
          </w:tcPr>
          <w:p>
            <w:pPr>
              <w:jc w:val="both"/>
              <w:rPr>
                <w:rFonts w:ascii="仿宋_GB2312" w:hAnsi="Times New Roman" w:eastAsia="仿宋_GB2312" w:cs="Times New Roman"/>
                <w:sz w:val="28"/>
                <w:szCs w:val="24"/>
              </w:rPr>
            </w:pPr>
          </w:p>
        </w:tc>
        <w:tc>
          <w:tcPr>
            <w:tcW w:w="900" w:type="dxa"/>
            <w:gridSpan w:val="2"/>
            <w:noWrap w:val="0"/>
            <w:vAlign w:val="top"/>
          </w:tcPr>
          <w:p>
            <w:pPr>
              <w:jc w:val="both"/>
              <w:rPr>
                <w:rFonts w:ascii="仿宋_GB2312" w:hAnsi="Times New Roman" w:eastAsia="仿宋_GB2312" w:cs="Times New Roman"/>
                <w:sz w:val="28"/>
                <w:szCs w:val="24"/>
              </w:rPr>
            </w:pPr>
            <w:r>
              <w:rPr>
                <w:rFonts w:hint="eastAsia" w:ascii="仿宋_GB2312" w:hAnsi="Times New Roman" w:eastAsia="仿宋_GB2312" w:cs="Times New Roman"/>
                <w:sz w:val="28"/>
                <w:szCs w:val="24"/>
              </w:rPr>
              <w:t>性别</w:t>
            </w:r>
          </w:p>
        </w:tc>
        <w:tc>
          <w:tcPr>
            <w:tcW w:w="705" w:type="dxa"/>
            <w:noWrap w:val="0"/>
            <w:vAlign w:val="top"/>
          </w:tcPr>
          <w:p>
            <w:pPr>
              <w:jc w:val="both"/>
              <w:rPr>
                <w:rFonts w:ascii="仿宋_GB2312" w:hAnsi="Times New Roman" w:eastAsia="仿宋_GB2312" w:cs="Times New Roman"/>
                <w:sz w:val="28"/>
                <w:szCs w:val="24"/>
              </w:rPr>
            </w:pPr>
          </w:p>
        </w:tc>
        <w:tc>
          <w:tcPr>
            <w:tcW w:w="1815" w:type="dxa"/>
            <w:gridSpan w:val="2"/>
            <w:noWrap w:val="0"/>
            <w:vAlign w:val="top"/>
          </w:tcPr>
          <w:p>
            <w:pPr>
              <w:jc w:val="both"/>
              <w:rPr>
                <w:rFonts w:ascii="仿宋_GB2312" w:hAnsi="Times New Roman" w:eastAsia="仿宋_GB2312" w:cs="Times New Roman"/>
                <w:sz w:val="28"/>
                <w:szCs w:val="24"/>
              </w:rPr>
            </w:pPr>
            <w:r>
              <w:rPr>
                <w:rFonts w:hint="eastAsia" w:ascii="仿宋_GB2312" w:hAnsi="Times New Roman" w:eastAsia="仿宋_GB2312" w:cs="Times New Roman"/>
                <w:sz w:val="28"/>
                <w:szCs w:val="24"/>
              </w:rPr>
              <w:t>CPA证书号码</w:t>
            </w:r>
          </w:p>
        </w:tc>
        <w:tc>
          <w:tcPr>
            <w:tcW w:w="2685" w:type="dxa"/>
            <w:noWrap w:val="0"/>
            <w:vAlign w:val="top"/>
          </w:tcPr>
          <w:p>
            <w:pPr>
              <w:jc w:val="both"/>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35" w:type="dxa"/>
            <w:gridSpan w:val="2"/>
            <w:noWrap w:val="0"/>
            <w:vAlign w:val="top"/>
          </w:tcPr>
          <w:p>
            <w:pPr>
              <w:jc w:val="both"/>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w:t>
            </w:r>
          </w:p>
        </w:tc>
        <w:tc>
          <w:tcPr>
            <w:tcW w:w="6105" w:type="dxa"/>
            <w:gridSpan w:val="6"/>
            <w:noWrap w:val="0"/>
            <w:vAlign w:val="top"/>
          </w:tcPr>
          <w:p>
            <w:pPr>
              <w:jc w:val="both"/>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535" w:type="dxa"/>
            <w:gridSpan w:val="2"/>
            <w:noWrap w:val="0"/>
            <w:vAlign w:val="top"/>
          </w:tcPr>
          <w:p>
            <w:pPr>
              <w:jc w:val="both"/>
              <w:rPr>
                <w:rFonts w:ascii="仿宋_GB2312" w:hAnsi="Times New Roman" w:eastAsia="仿宋_GB2312" w:cs="Times New Roman"/>
                <w:sz w:val="28"/>
                <w:szCs w:val="24"/>
              </w:rPr>
            </w:pPr>
            <w:r>
              <w:rPr>
                <w:rFonts w:hint="eastAsia" w:ascii="仿宋_GB2312" w:hAnsi="Times New Roman" w:eastAsia="仿宋_GB2312" w:cs="Times New Roman"/>
                <w:sz w:val="28"/>
                <w:szCs w:val="24"/>
              </w:rPr>
              <w:t>申请确认的学时数</w:t>
            </w:r>
          </w:p>
        </w:tc>
        <w:tc>
          <w:tcPr>
            <w:tcW w:w="6105" w:type="dxa"/>
            <w:gridSpan w:val="6"/>
            <w:noWrap w:val="0"/>
            <w:vAlign w:val="top"/>
          </w:tcPr>
          <w:p>
            <w:pPr>
              <w:jc w:val="both"/>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060" w:type="dxa"/>
            <w:gridSpan w:val="3"/>
            <w:noWrap w:val="0"/>
            <w:vAlign w:val="top"/>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参加继续教育的形式</w:t>
            </w:r>
          </w:p>
        </w:tc>
        <w:tc>
          <w:tcPr>
            <w:tcW w:w="5580" w:type="dxa"/>
            <w:gridSpan w:val="5"/>
            <w:noWrap w:val="0"/>
            <w:vAlign w:val="top"/>
          </w:tcPr>
          <w:p>
            <w:pPr>
              <w:jc w:val="both"/>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6" w:hRule="atLeast"/>
        </w:trPr>
        <w:tc>
          <w:tcPr>
            <w:tcW w:w="8640" w:type="dxa"/>
            <w:gridSpan w:val="8"/>
            <w:noWrap w:val="0"/>
            <w:vAlign w:val="top"/>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参加继续教育情况说明（可另附页）</w:t>
            </w: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ind w:firstLine="5600" w:firstLineChars="2000"/>
              <w:rPr>
                <w:rFonts w:ascii="仿宋_GB2312" w:hAnsi="Times New Roman" w:eastAsia="仿宋_GB2312" w:cs="Times New Roman"/>
                <w:sz w:val="28"/>
                <w:szCs w:val="24"/>
              </w:rPr>
            </w:pPr>
            <w:r>
              <w:rPr>
                <w:rFonts w:hint="eastAsia" w:ascii="仿宋_GB2312" w:hAnsi="Times New Roman" w:eastAsia="仿宋_GB2312" w:cs="Times New Roman"/>
                <w:sz w:val="28"/>
                <w:szCs w:val="24"/>
              </w:rPr>
              <w:t>申请人：</w:t>
            </w:r>
          </w:p>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4320" w:type="dxa"/>
            <w:gridSpan w:val="6"/>
            <w:noWrap w:val="0"/>
            <w:vAlign w:val="top"/>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所在会计师事务所意见</w:t>
            </w:r>
          </w:p>
        </w:tc>
        <w:tc>
          <w:tcPr>
            <w:tcW w:w="4320" w:type="dxa"/>
            <w:gridSpan w:val="2"/>
            <w:noWrap w:val="0"/>
            <w:vAlign w:val="top"/>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地方注协意见</w:t>
            </w:r>
          </w:p>
        </w:tc>
      </w:tr>
    </w:tbl>
    <w:p>
      <w:pPr>
        <w:spacing w:line="300" w:lineRule="exact"/>
        <w:rPr>
          <w:rFonts w:ascii="仿宋_GB2312" w:hAnsi="Times New Roman" w:eastAsia="仿宋_GB2312" w:cs="Times New Roman"/>
          <w:szCs w:val="24"/>
        </w:rPr>
      </w:pPr>
    </w:p>
    <w:p>
      <w:pPr>
        <w:spacing w:line="240" w:lineRule="auto"/>
        <w:ind w:left="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说明：</w:t>
      </w:r>
      <w:r>
        <w:rPr>
          <w:rFonts w:hint="eastAsia" w:ascii="仿宋_GB2312" w:hAnsi="仿宋_GB2312" w:eastAsia="仿宋_GB2312" w:cs="仿宋_GB2312"/>
          <w:sz w:val="24"/>
          <w:szCs w:val="24"/>
        </w:rPr>
        <w:t>1.本申请表中，经地方注协确认的学时数可计入当年继续教育学时。</w:t>
      </w:r>
    </w:p>
    <w:p>
      <w:pPr>
        <w:spacing w:line="240" w:lineRule="auto"/>
        <w:ind w:firstLine="720"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2.“继续教育形式”包括投入法形式和产出法认可的其他形式。</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3.申请人提交本申请表时，请一并报送相关证明材料</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hint="eastAsia" w:hAnsi="仿宋_GB2312" w:cs="Times New Roman"/>
          <w:sz w:val="24"/>
          <w:szCs w:val="24"/>
          <w:lang w:eastAsia="zh-CN"/>
        </w:rPr>
      </w:pPr>
    </w:p>
    <w:p>
      <w:pPr>
        <w:rPr>
          <w:rFonts w:hint="eastAsia" w:hAnsi="仿宋_GB2312" w:cs="Times New Roman"/>
          <w:sz w:val="24"/>
          <w:szCs w:val="24"/>
          <w:lang w:eastAsia="zh-CN"/>
        </w:rPr>
      </w:pPr>
      <w:r>
        <w:rPr>
          <w:rFonts w:hint="eastAsia" w:hAnsi="仿宋_GB2312" w:cs="Times New Roman"/>
          <w:sz w:val="24"/>
          <w:szCs w:val="24"/>
          <w:lang w:eastAsia="zh-CN"/>
        </w:rPr>
        <w:br w:type="page"/>
      </w:r>
    </w:p>
    <w:p>
      <w:pPr>
        <w:spacing w:line="300" w:lineRule="exact"/>
        <w:ind w:firstLine="0"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附表2</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注册会计师培训学时证明表</w:t>
      </w:r>
    </w:p>
    <w:p>
      <w:pPr>
        <w:rPr>
          <w:rFonts w:ascii="宋体" w:hAnsi="宋体" w:eastAsia="宋体" w:cs="Times New Roman"/>
          <w:sz w:val="24"/>
          <w:szCs w:val="24"/>
        </w:rPr>
      </w:pPr>
    </w:p>
    <w:tbl>
      <w:tblPr>
        <w:tblStyle w:val="4"/>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620"/>
        <w:gridCol w:w="555"/>
        <w:gridCol w:w="1065"/>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1440" w:type="dxa"/>
            <w:noWrap w:val="0"/>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姓　名</w:t>
            </w:r>
          </w:p>
        </w:tc>
        <w:tc>
          <w:tcPr>
            <w:tcW w:w="2175" w:type="dxa"/>
            <w:gridSpan w:val="2"/>
            <w:noWrap w:val="0"/>
            <w:vAlign w:val="center"/>
          </w:tcPr>
          <w:p>
            <w:pPr>
              <w:jc w:val="center"/>
              <w:rPr>
                <w:rFonts w:ascii="仿宋_GB2312" w:hAnsi="宋体" w:eastAsia="仿宋_GB2312" w:cs="Times New Roman"/>
                <w:sz w:val="28"/>
                <w:szCs w:val="28"/>
              </w:rPr>
            </w:pPr>
          </w:p>
        </w:tc>
        <w:tc>
          <w:tcPr>
            <w:tcW w:w="2145" w:type="dxa"/>
            <w:gridSpan w:val="2"/>
            <w:noWrap w:val="0"/>
            <w:vAlign w:val="center"/>
          </w:tcPr>
          <w:p>
            <w:pPr>
              <w:ind w:left="0"/>
              <w:jc w:val="center"/>
              <w:rPr>
                <w:rFonts w:ascii="仿宋_GB2312" w:hAnsi="宋体" w:eastAsia="仿宋_GB2312" w:cs="Times New Roman"/>
                <w:sz w:val="28"/>
                <w:szCs w:val="28"/>
              </w:rPr>
            </w:pPr>
            <w:r>
              <w:rPr>
                <w:rFonts w:hint="eastAsia" w:ascii="仿宋_GB2312" w:hAnsi="宋体" w:eastAsia="仿宋_GB2312" w:cs="Times New Roman"/>
                <w:sz w:val="28"/>
                <w:szCs w:val="28"/>
              </w:rPr>
              <w:t>CPA证书号</w:t>
            </w:r>
          </w:p>
        </w:tc>
        <w:tc>
          <w:tcPr>
            <w:tcW w:w="3060" w:type="dxa"/>
            <w:noWrap w:val="0"/>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trPr>
        <w:tc>
          <w:tcPr>
            <w:tcW w:w="3060" w:type="dxa"/>
            <w:gridSpan w:val="2"/>
            <w:noWrap w:val="0"/>
            <w:vAlign w:val="center"/>
          </w:tcPr>
          <w:p>
            <w:pPr>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转出事务所名称</w:t>
            </w:r>
          </w:p>
        </w:tc>
        <w:tc>
          <w:tcPr>
            <w:tcW w:w="5760" w:type="dxa"/>
            <w:gridSpan w:val="4"/>
            <w:noWrap w:val="0"/>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3060" w:type="dxa"/>
            <w:gridSpan w:val="2"/>
            <w:noWrap w:val="0"/>
            <w:vAlign w:val="center"/>
          </w:tcPr>
          <w:p>
            <w:pPr>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转入事务所名称</w:t>
            </w:r>
          </w:p>
        </w:tc>
        <w:tc>
          <w:tcPr>
            <w:tcW w:w="5760" w:type="dxa"/>
            <w:gridSpan w:val="4"/>
            <w:noWrap w:val="0"/>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8820" w:type="dxa"/>
            <w:gridSpan w:val="6"/>
            <w:noWrap w:val="0"/>
            <w:vAlign w:val="center"/>
          </w:tcPr>
          <w:p>
            <w:pPr>
              <w:rPr>
                <w:rFonts w:ascii="仿宋_GB2312" w:hAnsi="宋体" w:eastAsia="仿宋_GB2312" w:cs="Times New Roman"/>
                <w:b/>
                <w:bCs/>
                <w:sz w:val="28"/>
                <w:szCs w:val="28"/>
              </w:rPr>
            </w:pPr>
            <w:r>
              <w:rPr>
                <w:rFonts w:hint="eastAsia" w:ascii="仿宋_GB2312" w:hAnsi="宋体" w:eastAsia="仿宋_GB2312" w:cs="Times New Roman"/>
                <w:b/>
                <w:bCs/>
                <w:sz w:val="28"/>
                <w:szCs w:val="28"/>
              </w:rPr>
              <w:t>以下信息由转出事务所所在地方注协填写：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4680" w:type="dxa"/>
            <w:gridSpan w:val="4"/>
            <w:noWrap w:val="0"/>
            <w:vAlign w:val="center"/>
          </w:tcPr>
          <w:p>
            <w:pPr>
              <w:ind w:left="252"/>
              <w:rPr>
                <w:rFonts w:ascii="仿宋_GB2312" w:hAnsi="宋体" w:eastAsia="仿宋_GB2312" w:cs="Times New Roman"/>
                <w:sz w:val="28"/>
                <w:szCs w:val="28"/>
              </w:rPr>
            </w:pPr>
            <w:r>
              <w:rPr>
                <w:rFonts w:hint="eastAsia" w:ascii="仿宋_GB2312" w:hAnsi="宋体" w:eastAsia="仿宋_GB2312" w:cs="Times New Roman"/>
                <w:sz w:val="28"/>
                <w:szCs w:val="28"/>
              </w:rPr>
              <w:t>本年度已完成培训学时数</w:t>
            </w:r>
          </w:p>
        </w:tc>
        <w:tc>
          <w:tcPr>
            <w:tcW w:w="4140" w:type="dxa"/>
            <w:gridSpan w:val="2"/>
            <w:noWrap w:val="0"/>
            <w:vAlign w:val="center"/>
          </w:tcPr>
          <w:p>
            <w:pPr>
              <w:jc w:val="both"/>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1" w:hRule="atLeast"/>
        </w:trPr>
        <w:tc>
          <w:tcPr>
            <w:tcW w:w="8820" w:type="dxa"/>
            <w:gridSpan w:val="6"/>
            <w:noWrap w:val="0"/>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特此证明。</w:t>
            </w:r>
          </w:p>
          <w:p>
            <w:pPr>
              <w:ind w:firstLine="560" w:firstLineChars="200"/>
              <w:rPr>
                <w:rFonts w:ascii="仿宋_GB2312" w:hAnsi="宋体" w:eastAsia="仿宋_GB2312" w:cs="Times New Roman"/>
                <w:sz w:val="28"/>
                <w:szCs w:val="28"/>
              </w:rPr>
            </w:pPr>
          </w:p>
          <w:p>
            <w:pPr>
              <w:ind w:firstLine="560" w:firstLineChars="200"/>
              <w:rPr>
                <w:rFonts w:ascii="仿宋_GB2312" w:hAnsi="宋体" w:eastAsia="仿宋_GB2312" w:cs="Times New Roman"/>
                <w:sz w:val="28"/>
                <w:szCs w:val="28"/>
              </w:rPr>
            </w:pPr>
          </w:p>
          <w:p>
            <w:pPr>
              <w:ind w:firstLine="560" w:firstLineChars="200"/>
              <w:rPr>
                <w:rFonts w:ascii="仿宋_GB2312" w:hAnsi="宋体" w:eastAsia="仿宋_GB2312" w:cs="Times New Roman"/>
                <w:sz w:val="28"/>
                <w:szCs w:val="28"/>
              </w:rPr>
            </w:pPr>
          </w:p>
          <w:p>
            <w:pPr>
              <w:ind w:firstLine="560" w:firstLineChars="200"/>
              <w:rPr>
                <w:rFonts w:ascii="仿宋_GB2312" w:hAnsi="宋体" w:eastAsia="仿宋_GB2312" w:cs="Times New Roman"/>
                <w:sz w:val="28"/>
                <w:szCs w:val="28"/>
              </w:rPr>
            </w:pPr>
          </w:p>
          <w:p>
            <w:pPr>
              <w:ind w:firstLine="560" w:firstLineChars="200"/>
              <w:rPr>
                <w:rFonts w:ascii="仿宋_GB2312" w:hAnsi="宋体" w:eastAsia="仿宋_GB2312" w:cs="Times New Roman"/>
                <w:sz w:val="28"/>
                <w:szCs w:val="28"/>
              </w:rPr>
            </w:pPr>
          </w:p>
          <w:p>
            <w:pPr>
              <w:ind w:firstLine="560" w:firstLineChars="200"/>
              <w:rPr>
                <w:rFonts w:ascii="仿宋_GB2312" w:hAnsi="宋体" w:eastAsia="仿宋_GB2312" w:cs="Times New Roman"/>
                <w:sz w:val="28"/>
                <w:szCs w:val="28"/>
              </w:rPr>
            </w:pPr>
          </w:p>
          <w:p>
            <w:pPr>
              <w:ind w:firstLine="4760" w:firstLineChars="1700"/>
              <w:rPr>
                <w:rFonts w:ascii="仿宋_GB2312" w:hAnsi="宋体" w:eastAsia="仿宋_GB2312" w:cs="Times New Roman"/>
                <w:sz w:val="28"/>
                <w:szCs w:val="28"/>
              </w:rPr>
            </w:pPr>
            <w:r>
              <w:rPr>
                <w:rFonts w:hint="eastAsia" w:ascii="仿宋_GB2312" w:hAnsi="宋体" w:eastAsia="仿宋_GB2312" w:cs="Times New Roman"/>
                <w:sz w:val="28"/>
                <w:szCs w:val="28"/>
              </w:rPr>
              <w:t>（转出注协盖章处）</w:t>
            </w:r>
          </w:p>
          <w:p>
            <w:pPr>
              <w:ind w:firstLine="5040" w:firstLineChars="1800"/>
              <w:rPr>
                <w:rFonts w:ascii="仿宋_GB2312" w:hAnsi="宋体" w:eastAsia="仿宋_GB2312" w:cs="Times New Roman"/>
                <w:sz w:val="28"/>
                <w:szCs w:val="28"/>
              </w:rPr>
            </w:pPr>
            <w:r>
              <w:rPr>
                <w:rFonts w:hint="eastAsia" w:ascii="仿宋_GB2312" w:hAnsi="宋体" w:eastAsia="仿宋_GB2312" w:cs="Times New Roman"/>
                <w:sz w:val="28"/>
                <w:szCs w:val="28"/>
              </w:rPr>
              <w:t>年　　月　　日</w:t>
            </w:r>
          </w:p>
        </w:tc>
      </w:tr>
    </w:tbl>
    <w:p>
      <w:pPr>
        <w:rPr>
          <w:rFonts w:ascii="仿宋_GB2312" w:hAnsi="宋体" w:eastAsia="仿宋_GB2312" w:cs="Times New Roman"/>
          <w:sz w:val="24"/>
          <w:szCs w:val="24"/>
        </w:rPr>
      </w:pPr>
    </w:p>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说明：</w:t>
      </w:r>
      <w:r>
        <w:rPr>
          <w:rFonts w:hint="eastAsia" w:ascii="仿宋_GB2312" w:hAnsi="仿宋_GB2312" w:eastAsia="仿宋_GB2312" w:cs="仿宋_GB2312"/>
          <w:sz w:val="24"/>
          <w:szCs w:val="24"/>
        </w:rPr>
        <w:t>1.注册会计师跨省转所时填写此表；</w:t>
      </w:r>
    </w:p>
    <w:p>
      <w:pPr>
        <w:spacing w:line="240" w:lineRule="auto"/>
        <w:ind w:firstLine="720"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转入地方注协根据此证明确认注册会计师完成的培训学时数；</w:t>
      </w:r>
    </w:p>
    <w:p>
      <w:pPr>
        <w:ind w:firstLine="720" w:firstLineChars="3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本表一式三份，转出、转入地方注协和注册会计师本人各留存一份。</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969C3"/>
    <w:rsid w:val="05F42C7C"/>
    <w:rsid w:val="05F62E7C"/>
    <w:rsid w:val="075A7DA0"/>
    <w:rsid w:val="08025F39"/>
    <w:rsid w:val="08340A8A"/>
    <w:rsid w:val="088E42C2"/>
    <w:rsid w:val="0AAD6161"/>
    <w:rsid w:val="0E362247"/>
    <w:rsid w:val="0ECB6B2E"/>
    <w:rsid w:val="10EA457C"/>
    <w:rsid w:val="150F1261"/>
    <w:rsid w:val="15DB03FD"/>
    <w:rsid w:val="17D50D7F"/>
    <w:rsid w:val="18F86DB6"/>
    <w:rsid w:val="1A0A480D"/>
    <w:rsid w:val="1B294FD9"/>
    <w:rsid w:val="1C1A1F29"/>
    <w:rsid w:val="1CB027A7"/>
    <w:rsid w:val="203243A5"/>
    <w:rsid w:val="22533AAD"/>
    <w:rsid w:val="24C179DC"/>
    <w:rsid w:val="260A2CFD"/>
    <w:rsid w:val="2AFE7B10"/>
    <w:rsid w:val="2C5739B3"/>
    <w:rsid w:val="2CB00A6B"/>
    <w:rsid w:val="370C63A7"/>
    <w:rsid w:val="377E2F2C"/>
    <w:rsid w:val="395E52EA"/>
    <w:rsid w:val="3A817008"/>
    <w:rsid w:val="3B8C66F5"/>
    <w:rsid w:val="3C8C3A5F"/>
    <w:rsid w:val="3E1E46FA"/>
    <w:rsid w:val="41364B9A"/>
    <w:rsid w:val="42850D75"/>
    <w:rsid w:val="44D97C78"/>
    <w:rsid w:val="468C66B0"/>
    <w:rsid w:val="46EE1E1D"/>
    <w:rsid w:val="48B36963"/>
    <w:rsid w:val="49674209"/>
    <w:rsid w:val="4A744771"/>
    <w:rsid w:val="4D8F0562"/>
    <w:rsid w:val="4DE54D24"/>
    <w:rsid w:val="50B50F5A"/>
    <w:rsid w:val="58EA4B11"/>
    <w:rsid w:val="5DCC265D"/>
    <w:rsid w:val="5ECF0D27"/>
    <w:rsid w:val="65007C1A"/>
    <w:rsid w:val="663B1B6F"/>
    <w:rsid w:val="69600901"/>
    <w:rsid w:val="6D7D39D5"/>
    <w:rsid w:val="7152748C"/>
    <w:rsid w:val="71D3274B"/>
    <w:rsid w:val="725C005E"/>
    <w:rsid w:val="73DD33CB"/>
    <w:rsid w:val="757D1809"/>
    <w:rsid w:val="77337C73"/>
    <w:rsid w:val="7A813A2F"/>
    <w:rsid w:val="7C421B3F"/>
    <w:rsid w:val="7DD669C2"/>
    <w:rsid w:val="7E1E392C"/>
    <w:rsid w:val="7E4969C3"/>
    <w:rsid w:val="7F46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2022-06-06T04:02:00Z</dcterms:created>
  <dc:creator> </dc:creator>
  <cp:lastModifiedBy> </cp:lastModifiedBy>
  <dcterms:modified xsi:type="dcterms:W3CDTF">2022-06-07T13:09:15Z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DD23763F5C034CF8AF49A9779BF1557F</vt:lpwstr>
  </property>
</Properties>
</file>